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الرحمن بن محمد بن عبد الله بن أبي زمنين المري
</w:t>
      </w:r>
    </w:p>
    <w:p>
      <w:pPr>
        <w:jc w:val="start"/>
        <w:bidi/>
      </w:pPr>
      <w:r>
        <w:rPr>
          <w:rFonts w:ascii="arial" w:hAnsi="arial" w:eastAsia="arial" w:cs="arial"/>
          <w:sz w:val="28"/>
          <w:szCs w:val="28"/>
          <w:b w:val="1"/>
          <w:bCs w:val="1"/>
          <w:rtl/>
        </w:rPr>
        <w:t xml:space="preserve">عبد الله بن محمد بن عبد الرحمن بن محمد بن عبد الله بن أبي زمنين المري
</w:t>
      </w:r>
    </w:p>
    <w:p>
      <w:pPr/>
      <w:r>
        <w:rPr/>
        <w:t xml:space="preserve">عبد الله بن محمد بن عبد الرحمن بن محمد بن عبد الله بن أبي زمنين المري يكنى أبا خالد كان فقيها جليلا وولي القضاء ببعض جهات غرناطة أخذ الفقه عن أبي جعفر بن عبد الله خولا وأبي محمد بن سماك القاضي والعربية من الخضر بن رضوانا والحديث عن الحافظ أبي بكر بن غالب بن عبد الرحمن بن عطية والإمام أبي الحسن: علي بن محمد والقاضي أبي الفضل: عياض بن موسى أيام قضائه بغرناطة. توفي سنة أربع وأربعين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2026-05-14T13:31:02+03:00</dcterms:created>
  <dcterms:modified xsi:type="dcterms:W3CDTF">2026-05-14T13:31:02+03:00</dcterms:modified>
</cp:coreProperties>
</file>

<file path=docProps/custom.xml><?xml version="1.0" encoding="utf-8"?>
<Properties xmlns="http://schemas.openxmlformats.org/officeDocument/2006/custom-properties" xmlns:vt="http://schemas.openxmlformats.org/officeDocument/2006/docPropsVTypes"/>
</file>