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المطهر بن علي
</w:t>
      </w:r>
    </w:p>
    <w:p>
      <w:pPr>
        <w:jc w:val="start"/>
        <w:bidi/>
      </w:pPr>
      <w:r>
        <w:rPr>
          <w:rFonts w:ascii="arial" w:hAnsi="arial" w:eastAsia="arial" w:cs="arial"/>
          <w:sz w:val="28"/>
          <w:szCs w:val="28"/>
          <w:b w:val="1"/>
          <w:bCs w:val="1"/>
          <w:rtl/>
        </w:rPr>
        <w:t xml:space="preserve">المطهر بن علي
</w:t>
      </w:r>
    </w:p>
    <w:p>
      <w:pPr/>
      <w:r>
        <w:rPr/>
        <w:t xml:space="preserve">المطهر بن علي  المطهر بن علي بن محمد الضمدي اليماني، ابو محمد: مفسر اديب، من علماء الزيدية. من أهل ضمد (باليمن) من كتبه (الفرات النمير) في تفسير القرآن، قال الشوكاني: مفيد جدا مع اختصاره، و (جلاء الوهوم، مختصر ضياء الحلوم) في اللغة، و (المنقح في شرح الموشح-خ) وهو شرح الخبيصي للكافية في النحو، رايته في الفاتيكان (آخر المجموع 997عربي) و (شرح الازهار) في الفقه. وله شعر. </w:t>
      </w:r>
    </w:p>
    <w:p>
      <w:pPr>
        <w:jc w:val="start"/>
        <w:bidi/>
      </w:pPr>
      <w:r>
        <w:rPr>
          <w:sz w:val="24"/>
          <w:szCs w:val="24"/>
          <w:b w:val="1"/>
          <w:bCs w:val="1"/>
          <w:rtl/>
        </w:rPr>
        <w:t xml:space="preserve">
الأعلام،(دار العلم للملايين - بيروت،2002،ط 15،ج 7،ص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المطهر بن علي بن محمد بن على بن حسن بن إبراهيم الضمدى اليماني العالم المشهور
</w:t>
      </w:r>
    </w:p>
    <w:p>
      <w:pPr/>
      <w:r>
        <w:rPr/>
        <w:t xml:space="preserve">المطهر بن علي بن محمد بن على بن حسن بن إبراهيم الضمدى اليماني العالم المشهور </w:t>
      </w:r>
    </w:p>
    <w:p/>
    <w:p>
      <w:pPr/>
      <w:r>
        <w:rPr/>
        <w:t xml:space="preserve">المفسر النحوي مصنف المنقح على شرح الخبيصى للكافية ومؤلف التفسير المسمى بالفرات وهو تفسير مفيد جدا مع اختصاره يدل على قوة ملكة صاحب الترجمة في العلوم ورسوخ قدمه في فنون عدة وكان مشهورا بالذكاء والفطنة وجودة الحفظ وله شعر سائر في غاية الجودة ومنه</w:t>
      </w:r>
    </w:p>
    <w:p/>
    <w:p>
      <w:pPr>
        <w:jc w:val="center"/>
      </w:pPr>
      <w:r>
        <w:rPr>
          <w:color w:val="ff0000"/>
        </w:rPr>
        <w:t xml:space="preserve">ويلاه من جفنه السقيم</w:t>
      </w:r>
      <w:r>
        <w:rPr>
          <w:color w:val="ff0000"/>
        </w:rPr>
        <w:t xml:space="preserve">      </w:t>
      </w:r>
      <w:r>
        <w:rPr>
          <w:color w:val="ff0000"/>
        </w:rPr>
        <w:t xml:space="preserve">وخده الأبلج القسيم</w:t>
      </w:r>
    </w:p>
    <w:p/>
    <w:p>
      <w:pPr>
        <w:jc w:val="center"/>
      </w:pPr>
      <w:r>
        <w:rPr>
          <w:color w:val="ff0000"/>
        </w:rPr>
        <w:t xml:space="preserve">يلوح صبح الجبين منه</w:t>
      </w:r>
      <w:r>
        <w:rPr>
          <w:color w:val="ff0000"/>
        </w:rPr>
        <w:t xml:space="preserve">      </w:t>
      </w:r>
      <w:r>
        <w:rPr>
          <w:color w:val="ff0000"/>
        </w:rPr>
        <w:t xml:space="preserve">تحت دجى شعره البهيم</w:t>
      </w:r>
    </w:p>
    <w:p/>
    <w:p>
      <w:pPr>
        <w:jc w:val="center"/>
      </w:pPr>
      <w:r>
        <w:rPr>
          <w:color w:val="ff0000"/>
        </w:rPr>
        <w:t xml:space="preserve">كأنما الخد من نضار</w:t>
      </w:r>
      <w:r>
        <w:rPr>
          <w:color w:val="ff0000"/>
        </w:rPr>
        <w:t xml:space="preserve">      </w:t>
      </w:r>
      <w:r>
        <w:rPr>
          <w:color w:val="ff0000"/>
        </w:rPr>
        <w:t xml:space="preserve">والثغر من لوءلوء نظيم</w:t>
      </w:r>
    </w:p>
    <w:p/>
    <w:p>
      <w:pPr>
        <w:jc w:val="center"/>
      </w:pPr>
      <w:r>
        <w:rPr>
          <w:color w:val="ff0000"/>
        </w:rPr>
        <w:t xml:space="preserve">كأنما اللحظ منه موسى</w:t>
      </w:r>
      <w:r>
        <w:rPr>
          <w:color w:val="ff0000"/>
        </w:rPr>
        <w:t xml:space="preserve">      </w:t>
      </w:r>
      <w:r>
        <w:rPr>
          <w:color w:val="ff0000"/>
        </w:rPr>
        <w:t xml:space="preserve">يجرح في قلبي الكليم</w:t>
      </w:r>
    </w:p>
    <w:p/>
    <w:p>
      <w:pPr>
        <w:jc w:val="center"/>
      </w:pPr>
      <w:r>
        <w:rPr>
          <w:color w:val="ff0000"/>
        </w:rPr>
        <w:t xml:space="preserve">إذا رآه الوشاة قالوا</w:t>
      </w:r>
      <w:r>
        <w:rPr>
          <w:color w:val="ff0000"/>
        </w:rPr>
        <w:t xml:space="preserve">      </w:t>
      </w:r>
      <w:r>
        <w:rPr>
          <w:color w:val="ff0000"/>
        </w:rPr>
        <w:t xml:space="preserve">تبارك الله من حكيم</w:t>
      </w:r>
    </w:p>
    <w:p/>
    <w:p>
      <w:pPr>
        <w:jc w:val="center"/>
      </w:pPr>
      <w:r>
        <w:rPr>
          <w:color w:val="ff0000"/>
        </w:rPr>
        <w:t xml:space="preserve">يقول إن رمت وصله ما</w:t>
      </w:r>
      <w:r>
        <w:rPr>
          <w:color w:val="ff0000"/>
        </w:rPr>
        <w:t xml:space="preserve">      </w:t>
      </w:r>
      <w:r>
        <w:rPr>
          <w:color w:val="ff0000"/>
        </w:rPr>
        <w:t xml:space="preserve">لظالم قط من حميم</w:t>
      </w:r>
    </w:p>
    <w:p/>
    <w:p>
      <w:pPr>
        <w:jc w:val="center"/>
      </w:pPr>
      <w:r>
        <w:rPr>
          <w:color w:val="ff0000"/>
        </w:rPr>
        <w:t xml:space="preserve">معتزلي رافض لهذا</w:t>
      </w:r>
      <w:r>
        <w:rPr>
          <w:color w:val="ff0000"/>
        </w:rPr>
        <w:t xml:space="preserve">      </w:t>
      </w:r>
      <w:r>
        <w:rPr>
          <w:color w:val="ff0000"/>
        </w:rPr>
        <w:t xml:space="preserve">لا يعرف الجبر للنديم</w:t>
      </w:r>
    </w:p>
    <w:p/>
    <w:p>
      <w:pPr/>
      <w:r>
        <w:rPr/>
        <w:t xml:space="preserve">وتوفى بضمد في سنة 1049 تسع وأربعين وألف وأرخ موته صاحب الوافي بوفيات الأعيان تكميل غربال الزمان عبد الله بن علي الضمدي أخو صاحب الترجمة في الليلة الرابعة عشر من شهر رمضان ليلة الثلاثاء سنة 1048 ثمان وأربعين وألف وذكر من جملة مصنفاته أيضا جلاء الوهوم مختصر ضياء الحلوم في مجلد وشرع في شرح على الأزهار وأورد الأدلة ومشى على نمط الاجتهاد وبلغ فيه إلى آخر كتاب الحج </w:t>
      </w:r>
    </w:p>
    <w:p>
      <w:pPr>
        <w:jc w:val="start"/>
        <w:bidi/>
      </w:pPr>
      <w:r>
        <w:rPr>
          <w:sz w:val="24"/>
          <w:szCs w:val="24"/>
          <w:b w:val="1"/>
          <w:bCs w:val="1"/>
          <w:rtl/>
        </w:rPr>
        <w:t xml:space="preserve">
البدر الطالع بمحاسن من بعد القرن السابع،(دار المعرفة - بيروت،0،ط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2026-05-16T13:48:55+03:00</dcterms:created>
  <dcterms:modified xsi:type="dcterms:W3CDTF">2026-05-16T13:48:55+03:00</dcterms:modified>
</cp:coreProperties>
</file>

<file path=docProps/custom.xml><?xml version="1.0" encoding="utf-8"?>
<Properties xmlns="http://schemas.openxmlformats.org/officeDocument/2006/custom-properties" xmlns:vt="http://schemas.openxmlformats.org/officeDocument/2006/docPropsVTypes"/>
</file>