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أحمد بن عبد ربه أبو عثمان
</w:t>
      </w:r>
    </w:p>
    <w:p>
      <w:pPr>
        <w:jc w:val="start"/>
        <w:bidi/>
      </w:pPr>
      <w:r>
        <w:rPr>
          <w:rFonts w:ascii="arial" w:hAnsi="arial" w:eastAsia="arial" w:cs="arial"/>
          <w:sz w:val="28"/>
          <w:szCs w:val="28"/>
          <w:b w:val="1"/>
          <w:bCs w:val="1"/>
          <w:rtl/>
        </w:rPr>
        <w:t xml:space="preserve">سعيد بن أحمد بن عبد ربه أبو عثمان
</w:t>
      </w:r>
    </w:p>
    <w:p>
      <w:pPr/>
      <w:r>
        <w:rPr/>
        <w:t xml:space="preserve">سعيد بن أحمد بن عبد ربه أبو عثمان سمع من بن لبابة والقاضي أسلم وابن خالد وابن أيمن وابن قاسم كان فقيها عالما أديبا حافظا للفقه مقدما في الفتيا مشاورا في الأحكام ثقة بصيرا بالأدب حاذقا في الطب وكان مذهبه في مداواة الحميات بالبوارد: أن يخلط معها شيئا من الأشياء الحارة لتغوصها في الأعضاء الباطنة قال القاضي عياض: وتبعه على ذلك حذاق الأطباء توفي سنة اثنين وثلاثين وثلاثمائة وقيل سنة ست وخمسين.</w:t>
      </w:r>
    </w:p>
    <w:p>
      <w:pPr>
        <w:jc w:val="start"/>
        <w:bidi/>
      </w:pPr>
      <w:r>
        <w:rPr>
          <w:sz w:val="24"/>
          <w:szCs w:val="24"/>
          <w:b w:val="1"/>
          <w:bCs w:val="1"/>
          <w:rtl/>
        </w:rPr>
        <w:t xml:space="preserve">
الديباج المذهب في معرفة أعيان علماء المذهب،(دار التراث للطبع والنشر - القاهرة،2005،ط 1،ج 1،ص 392)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2026-05-12T08:43:02+03:00</dcterms:created>
  <dcterms:modified xsi:type="dcterms:W3CDTF">2026-05-12T08:43:02+03:00</dcterms:modified>
</cp:coreProperties>
</file>

<file path=docProps/custom.xml><?xml version="1.0" encoding="utf-8"?>
<Properties xmlns="http://schemas.openxmlformats.org/officeDocument/2006/custom-properties" xmlns:vt="http://schemas.openxmlformats.org/officeDocument/2006/docPropsVTypes"/>
</file>