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مسلمة بن عبد الغفور
</w:t>
      </w:r>
    </w:p>
    <w:p>
      <w:pPr>
        <w:jc w:val="start"/>
        <w:bidi/>
      </w:pPr>
      <w:r>
        <w:rPr>
          <w:rFonts w:ascii="arial" w:hAnsi="arial" w:eastAsia="arial" w:cs="arial"/>
          <w:sz w:val="28"/>
          <w:szCs w:val="28"/>
          <w:b w:val="1"/>
          <w:bCs w:val="1"/>
          <w:rtl/>
        </w:rPr>
        <w:t xml:space="preserve">خلف بن مسلمة بن عبد الغفور
</w:t>
      </w:r>
    </w:p>
    <w:p>
      <w:pPr/>
      <w:r>
        <w:rPr/>
        <w:t xml:space="preserve">خلف بن مسلمة بن عبد الغفور أقليشي فقيه حافظ يكنى أبا القاسم ولي قضاء بلده وروى عن القاضي زكريا بن غالب وغيره وألف كتاب الاستغناء في آداب القضاء عظيم الفائدة نحو خمسين جزءا.</w:t>
      </w:r>
    </w:p>
    <w:p>
      <w:pPr>
        <w:jc w:val="start"/>
        <w:bidi/>
      </w:pPr>
      <w:r>
        <w:rPr>
          <w:sz w:val="24"/>
          <w:szCs w:val="24"/>
          <w:b w:val="1"/>
          <w:bCs w:val="1"/>
          <w:rtl/>
        </w:rPr>
        <w:t xml:space="preserve">
الديباج المذهب في معرفة أعيان علماء المذهب،(دار التراث للطبع والنشر - القاهرة،2005،ط 1،ج 1،ص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2026-05-12T06:46:36+03:00</dcterms:created>
  <dcterms:modified xsi:type="dcterms:W3CDTF">2026-05-12T06:46:36+03:00</dcterms:modified>
</cp:coreProperties>
</file>

<file path=docProps/custom.xml><?xml version="1.0" encoding="utf-8"?>
<Properties xmlns="http://schemas.openxmlformats.org/officeDocument/2006/custom-properties" xmlns:vt="http://schemas.openxmlformats.org/officeDocument/2006/docPropsVTypes"/>
</file>