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بن محمد بن يوسف بن عبد الملك بن حيدرة التونسي
</w:t>
      </w:r>
    </w:p>
    <w:p>
      <w:pPr>
        <w:jc w:val="start"/>
        <w:bidi/>
      </w:pPr>
      <w:r>
        <w:rPr>
          <w:rFonts w:ascii="arial" w:hAnsi="arial" w:eastAsia="arial" w:cs="arial"/>
          <w:sz w:val="28"/>
          <w:szCs w:val="28"/>
          <w:b w:val="1"/>
          <w:bCs w:val="1"/>
          <w:rtl/>
        </w:rPr>
        <w:t xml:space="preserve">حيدرة بن محمد بن يوسف بن عبد الملك بن حيدرة التونسي
</w:t>
      </w:r>
    </w:p>
    <w:p>
      <w:pPr/>
      <w:r>
        <w:rPr/>
        <w:t xml:space="preserve">حيدرة بن محمد بن يوسف بن عبد الملك بن حيدرة التونسي كان إماما فاضلا في مذهب مالك حافظا جمل القراءات عن أبي العباس البطرني وسمع من أبي عبد الله بن حيان والفقيه المعمر أبي عبد الله بن هرون القرطبي والفقيه المحدث أبي عبد الله القيسي الأزدي وأبي عبد الله اللبيدي.</w:t>
      </w:r>
    </w:p>
    <w:p/>
    <w:p>
      <w:pPr/>
      <w:r>
        <w:rPr/>
        <w:t xml:space="preserve">وانفرد بشيخوخة العلم بعد أبي عبد الله بن عبد السلام وولي قضاء الجماعة بتونس وكان يستحضر بن يونس في الفقه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2026-05-12T07:06:04+03:00</dcterms:created>
  <dcterms:modified xsi:type="dcterms:W3CDTF">2026-05-12T07:06:04+03:00</dcterms:modified>
</cp:coreProperties>
</file>

<file path=docProps/custom.xml><?xml version="1.0" encoding="utf-8"?>
<Properties xmlns="http://schemas.openxmlformats.org/officeDocument/2006/custom-properties" xmlns:vt="http://schemas.openxmlformats.org/officeDocument/2006/docPropsVTypes"/>
</file>