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أسد
</w:t>
      </w:r>
    </w:p>
    <w:p>
      <w:pPr/>
      <w:r>
        <w:rPr/>
        <w:t xml:space="preserve">الحارث بن أسد من أهل قفصة من الأخيار المستجابي الدعوة أخذ عن مالك بن أنس روى عنه البهلول بن راشد وغيره قال الحارث: لما أردنا وداع مالك دخلت عليه أنا وابن القاسم وابن وهب فقال له بن وهب: أوصني فقال له: اتق الله وانظر عمن تنقل وقال لابن القاسم: اتق الله وانشر ما سمعت وقال لي: اتق الله وعليك بتلاوة القرآن.</w:t>
      </w:r>
    </w:p>
    <w:p/>
    <w:p>
      <w:pPr/>
      <w:r>
        <w:rPr/>
        <w:t xml:space="preserve">قال الحارث: لم يرني أهلا للعلم فكان يستفتى فلا يفتي ويقول: لم يرني مالك أهلا للعلم وهو من الطبقة الوسطى من أصحاب مالك وليس هو الحارث بن أسد المحاسبي صاحب التصانيف.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2026-05-12T06:44:43+03:00</dcterms:created>
  <dcterms:modified xsi:type="dcterms:W3CDTF">2026-05-12T06:44:43+03:00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