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بن جزي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بن جزي الكلبي
</w:t>
      </w:r>
    </w:p>
    <w:p>
      <w:pPr/>
      <w:r>
        <w:rPr/>
        <w:t xml:space="preserve">أبو أحمد بن جزي الكلبي كان شيخا جليلا ورعا زاهدا عابدا متقللا من الدنيا وكان فقيها مفسرا وله تفسير القرآن العزيز توفي في حدود العشرين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بن جزي الكلبي المالكي
</w:t>
      </w:r>
    </w:p>
    <w:p>
      <w:pPr/>
      <w:r>
        <w:rPr/>
        <w:t xml:space="preserve">أبو أحمد بن جزي الكلبي المالكي. كان شيخا جليلا ورعا زاهدا عابدا متقللا من الدنيا، وكان فقيها مفسرا.</w:t>
      </w:r>
    </w:p>
    <w:p/>
    <w:p>
      <w:pPr/>
      <w:r>
        <w:rPr/>
        <w:t xml:space="preserve">وله «تفسير القرآن العزيز». توفي في حدود العشرين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2026-05-12T07:41:14+03:00</dcterms:created>
  <dcterms:modified xsi:type="dcterms:W3CDTF">2026-05-12T07:41:14+03:00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