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الرحمن بن أبي العاصي أبو إسحاق البرقي
</w:t>
      </w:r>
    </w:p>
    <w:p>
      <w:pPr>
        <w:jc w:val="start"/>
        <w:bidi/>
      </w:pPr>
      <w:r>
        <w:rPr>
          <w:rFonts w:ascii="arial" w:hAnsi="arial" w:eastAsia="arial" w:cs="arial"/>
          <w:sz w:val="28"/>
          <w:szCs w:val="28"/>
          <w:b w:val="1"/>
          <w:bCs w:val="1"/>
          <w:rtl/>
        </w:rPr>
        <w:t xml:space="preserve">إبراهيم بن عبد الرحمن بن أبي العاصي أبو إسحاق البرقي
</w:t>
      </w:r>
    </w:p>
    <w:p>
      <w:pPr/>
      <w:r>
        <w:rPr/>
        <w:t xml:space="preserve">إبراهيم بن عبد الرحمن بن أبي العاصي أبو إسحاق البرقي من أهل مصر من الطبقة الثانية ممن لم ير مالكا كان صاحب حلقة أصبغ معدودا في فقهاء مصر يروى عن أشهب وابن وهب وأخذ الناس عنه بمصر كثيرا له سماع ومجالس رواها عن أشهب حملت عنه. توفي سنة خمس وأربعين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2026-05-12T06:12:05+03:00</dcterms:created>
  <dcterms:modified xsi:type="dcterms:W3CDTF">2026-05-12T06:12:05+03:00</dcterms:modified>
</cp:coreProperties>
</file>

<file path=docProps/custom.xml><?xml version="1.0" encoding="utf-8"?>
<Properties xmlns="http://schemas.openxmlformats.org/officeDocument/2006/custom-properties" xmlns:vt="http://schemas.openxmlformats.org/officeDocument/2006/docPropsVTypes"/>
</file>