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خيرات
</w:t>
      </w:r>
    </w:p>
    <w:p>
      <w:pPr>
        <w:jc w:val="start"/>
        <w:bidi/>
      </w:pPr>
      <w:r>
        <w:rPr>
          <w:rFonts w:ascii="arial" w:hAnsi="arial" w:eastAsia="arial" w:cs="arial"/>
          <w:sz w:val="28"/>
          <w:szCs w:val="28"/>
          <w:b w:val="1"/>
          <w:bCs w:val="1"/>
          <w:rtl/>
        </w:rPr>
        <w:t xml:space="preserve">ابن خيرات
</w:t>
      </w:r>
    </w:p>
    <w:p>
      <w:pPr/>
      <w:r>
        <w:rPr/>
        <w:t xml:space="preserve">ابن خيرات  أحمد بن محمد بن أحمد بن محمد بن خيرات الحسني: من أشراف اليمن. حفيد ابن خيرات المتقدم. كانت له ولأبيه وجده ولاية المخلاف السليماني. ولى بعد وفاة أبيه (سنة 1184 هـ) وخالفه أخ له اسمه حيدر، فكانت بينهما حروب ووقائع انتهت بوفاة حيدر سنة 1190 هـ ، واضطربت حال أحمد في أعوامه الأخيرة إلى أن توفي. وفي سيرته وأخباره مع إخوانه صنف عبد الرحمن بن حسن البهلكي كتابه (نزهة الظريف في سيرة أولاد الشريف). </w:t>
      </w:r>
    </w:p>
    <w:p>
      <w:pPr>
        <w:jc w:val="start"/>
        <w:bidi/>
      </w:pPr>
      <w:r>
        <w:rPr>
          <w:sz w:val="24"/>
          <w:szCs w:val="24"/>
          <w:b w:val="1"/>
          <w:bCs w:val="1"/>
          <w:rtl/>
        </w:rPr>
        <w:t xml:space="preserve">
الأعلام،(دار العلم للملايين - بيروت،2002،ط 15،ج 1،ص 244)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2026-07-04T13:40:10+03:00</dcterms:created>
  <dcterms:modified xsi:type="dcterms:W3CDTF">2026-07-04T13:40:10+03:00</dcterms:modified>
</cp:coreProperties>
</file>

<file path=docProps/custom.xml><?xml version="1.0" encoding="utf-8"?>
<Properties xmlns="http://schemas.openxmlformats.org/officeDocument/2006/custom-properties" xmlns:vt="http://schemas.openxmlformats.org/officeDocument/2006/docPropsVTypes"/>
</file>