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مسعود أبي الخصال بن فرج بن أبي الخصال خلصة الغافقي
</w:t>
      </w:r>
    </w:p>
    <w:p>
      <w:pPr>
        <w:jc w:val="start"/>
        <w:bidi/>
      </w:pPr>
      <w:r>
        <w:rPr>
          <w:rFonts w:ascii="arial" w:hAnsi="arial" w:eastAsia="arial" w:cs="arial"/>
          <w:sz w:val="28"/>
          <w:szCs w:val="28"/>
          <w:b w:val="1"/>
          <w:bCs w:val="1"/>
          <w:rtl/>
        </w:rPr>
        <w:t xml:space="preserve">أحمد بن مسعود أبي الخصال بن فرج بن أبي الخصال خلصة الغافقي
</w:t>
      </w:r>
    </w:p>
    <w:p>
      <w:pPr/>
      <w:r>
        <w:rPr/>
        <w:t xml:space="preserve">أحمد بن مسعود أبي الخصال بن فرج بن أبي الخصال خلصة الغافقي شقوري سكن قرطبة كان من أهل الحفظ للفقه والتقدم في البصر بالمسائل والمعرفة بالنوازل وتولى خطة الأحكام زمنا واتسم بجودة النظر فيها.</w:t>
      </w:r>
    </w:p>
    <w:p>
      <w:pPr>
        <w:jc w:val="start"/>
        <w:bidi/>
      </w:pPr>
      <w:r>
        <w:rPr>
          <w:sz w:val="24"/>
          <w:szCs w:val="24"/>
          <w:b w:val="1"/>
          <w:bCs w:val="1"/>
          <w:rtl/>
        </w:rPr>
        <w:t xml:space="preserve">
الديباج المذهب في معرفة أعيان علماء المذهب،(دار التراث للطبع والنشر - القاهرة،2005،ط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2026-05-12T04:59:22+03:00</dcterms:created>
  <dcterms:modified xsi:type="dcterms:W3CDTF">2026-05-12T04:59:22+03:00</dcterms:modified>
</cp:coreProperties>
</file>

<file path=docProps/custom.xml><?xml version="1.0" encoding="utf-8"?>
<Properties xmlns="http://schemas.openxmlformats.org/officeDocument/2006/custom-properties" xmlns:vt="http://schemas.openxmlformats.org/officeDocument/2006/docPropsVTypes"/>
</file>