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بن محمد بن مسعدة العامري
</w:t>
      </w:r>
    </w:p>
    <w:p>
      <w:pPr>
        <w:jc w:val="start"/>
        <w:bidi/>
      </w:pPr>
      <w:r>
        <w:rPr>
          <w:rFonts w:ascii="arial" w:hAnsi="arial" w:eastAsia="arial" w:cs="arial"/>
          <w:sz w:val="28"/>
          <w:szCs w:val="28"/>
          <w:b w:val="1"/>
          <w:bCs w:val="1"/>
          <w:rtl/>
        </w:rPr>
        <w:t xml:space="preserve">أحمد بن محمد بن علي بن محمد بن مسعدة العامري
</w:t>
      </w:r>
    </w:p>
    <w:p>
      <w:pPr/>
      <w:r>
        <w:rPr/>
        <w:t xml:space="preserve">أحمد بن محمد بن علي بن محمد بن مسعدة العامري غرناطي أبو جعفر كان من جلة الفقهاء ونبهاء النبلاء بارع الأدب بارعا في العربية كاتبا مجيدا مطبوعا مشهور الإحسان وله رواية في الحديث وله منظوم ومنثور. توفي سنة تسع وثلاثين وخمسمائة بمدينة فاس.</w:t>
      </w:r>
    </w:p>
    <w:p>
      <w:pPr>
        <w:jc w:val="start"/>
        <w:bidi/>
      </w:pPr>
      <w:r>
        <w:rPr>
          <w:sz w:val="24"/>
          <w:szCs w:val="24"/>
          <w:b w:val="1"/>
          <w:bCs w:val="1"/>
          <w:rtl/>
        </w:rPr>
        <w:t xml:space="preserve">
الديباج المذهب في معرفة أعيان علماء المذهب،(دار التراث للطبع والنشر - القاهرة،2005،ط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2026-05-12T04:55:45+03:00</dcterms:created>
  <dcterms:modified xsi:type="dcterms:W3CDTF">2026-05-12T04:55:45+03:00</dcterms:modified>
</cp:coreProperties>
</file>

<file path=docProps/custom.xml><?xml version="1.0" encoding="utf-8"?>
<Properties xmlns="http://schemas.openxmlformats.org/officeDocument/2006/custom-properties" xmlns:vt="http://schemas.openxmlformats.org/officeDocument/2006/docPropsVTypes"/>
</file>