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محمد بن هارون السماني
</w:t>
      </w:r>
    </w:p>
    <w:p>
      <w:pPr>
        <w:jc w:val="start"/>
        <w:bidi/>
      </w:pPr>
      <w:r>
        <w:rPr>
          <w:rFonts w:ascii="arial" w:hAnsi="arial" w:eastAsia="arial" w:cs="arial"/>
          <w:sz w:val="28"/>
          <w:szCs w:val="28"/>
          <w:b w:val="1"/>
          <w:bCs w:val="1"/>
          <w:rtl/>
        </w:rPr>
        <w:t xml:space="preserve">أحمد بن علي بن محمد بن هارون السماني
</w:t>
      </w:r>
    </w:p>
    <w:p>
      <w:pPr/>
      <w:r>
        <w:rPr/>
        <w:t xml:space="preserve">أحمد بن علي بن محمد بن هارون السماني ترجالي الأصل أبو العباس من بيت هارون بن ميسرة. كان أحد شيوخ أهل العلم عني طويلا برواية الحديث ولقاء حملته</w:t>
      </w:r>
    </w:p>
    <w:p/>
    <w:p>
      <w:pPr/>
      <w:r>
        <w:rPr/>
        <w:t xml:space="preserve">وكثر تهممه بتقييد العلم وتخليد التواريخ وله تعاليق وفوائد شهدت بطول إكبابه على خدمة العلم.</w:t>
      </w:r>
    </w:p>
    <w:p/>
    <w:p>
      <w:pPr/>
      <w:r>
        <w:rPr/>
        <w:t xml:space="preserve">وكان مع ذلك فقيها حافظا عاقدا للشروط بصيرا بها مميزا في المعرفة بعللها والضبط لأحكامها وكان أكبر العاقدين للشروط بمراكش مكبرا عند الخاصة والعامة معروف القدر والجلالة عند القضاة والرؤساء مستمرا على ذلك إلى أن توفي بها سنة تسع وأربعين وستمائة وقد ناهز الثمانين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2026-05-12T04:55:23+03:00</dcterms:created>
  <dcterms:modified xsi:type="dcterms:W3CDTF">2026-05-12T04:55:23+03:00</dcterms:modified>
</cp:coreProperties>
</file>

<file path=docProps/custom.xml><?xml version="1.0" encoding="utf-8"?>
<Properties xmlns="http://schemas.openxmlformats.org/officeDocument/2006/custom-properties" xmlns:vt="http://schemas.openxmlformats.org/officeDocument/2006/docPropsVTypes"/>
</file>