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الحسن الأنصاري أبو بكر المدعو بحميد
</w:t>
      </w:r>
    </w:p>
    <w:p>
      <w:pPr>
        <w:jc w:val="start"/>
        <w:bidi/>
      </w:pPr>
      <w:r>
        <w:rPr>
          <w:rFonts w:ascii="arial" w:hAnsi="arial" w:eastAsia="arial" w:cs="arial"/>
          <w:sz w:val="28"/>
          <w:szCs w:val="28"/>
          <w:b w:val="1"/>
          <w:bCs w:val="1"/>
          <w:rtl/>
        </w:rPr>
        <w:t xml:space="preserve">أحمد بن عبد الله بن الحسن الأنصاري أبو بكر المدعو بحميد
</w:t>
      </w:r>
    </w:p>
    <w:p>
      <w:pPr/>
      <w:r>
        <w:rPr/>
        <w:t xml:space="preserve">أحمد بن عبد الله بن الحسن الأنصاري أبو بكر المدعو بحميد وظن بعض الناس أنه اسمه فذكره في باب الحاء وإنما هو شهرة عرف بها وهو والد الأستاذ أبي محمد بن القرطبي وهو مالقي وشهر في مالقه بالقرطبي.</w:t>
      </w:r>
    </w:p>
    <w:p/>
    <w:p>
      <w:pPr/>
      <w:r>
        <w:rPr/>
        <w:t xml:space="preserve">روى عن أبي الحسن بن محمد الشارقي وأكثر عنه وأبي الخطاب:</w:t>
      </w:r>
    </w:p>
    <w:p/>
    <w:p>
      <w:pPr/>
      <w:r>
        <w:rPr/>
        <w:t xml:space="preserve">أحمد بن محمد بن واجب وأبي زيد: محمد بن علي بن حميد وأبي عبد الله بن علي بن عسكر وقرأ على بن عسكر جميع كتابه المشروع الروي في منزع كتاب الهروي في شوال عام أربع وثلاثين وستمائة. وهو في ستة أجزاء وأجاز له جماعة من مشايخ المغرب والمشرق منهم: أبو عمر بن الصلاح وروى عنه جماعة منهم: أبو إسحاق البلفيقي وشيخنا أبو جعفر بن الزبير وغيرهما كثيرا.</w:t>
      </w:r>
    </w:p>
    <w:p/>
    <w:p>
      <w:pPr/>
      <w:r>
        <w:rPr/>
        <w:t xml:space="preserve">وكان مقرئا مجودا فقيها حافظا محدثا ضابطا حسن التقييد نحويا ماهرا أدبيا كاتبا بارعا شاعرا محسنا أنيق الخط متين الدين صادق الورع سريع العبرة كثير البكاء معرضا عن الدنيا وزخرفها ولا يضحك إلا تبسما إن ندر ذلك منه ثم يعقبه بالبكاء والاستغفار مقتصدا في مطعمه وملبسه معانا على ذلك مؤيدا من الله تعالى اقتفى آثار شيخه أبي محمد بن عطية حتى بلغ من الورع رتبة لم يزاحم عليها.</w:t>
      </w:r>
    </w:p>
    <w:p/>
    <w:p>
      <w:pPr/>
      <w:r>
        <w:rPr/>
        <w:t xml:space="preserve">أقرأ ببلده القرآن ودرس الفقه وأسمع الحديث وأدب بالعربية ورحل إلى المشرق قاصدا الحج ولما وصل إلى مصر عظم فيها صيته وشهر فضله عند أهلها وتعذر عليه النفوذ إلى الحج ومرض بها واستزاره سلطان مصر يومئذ متبركا به فصده عن لقائه ولم يزل يلح عليه إلى أن أذن له وعرض عليه جائزة سنية فامتنع من قبولها البتة.</w:t>
      </w:r>
    </w:p>
    <w:p/>
    <w:p>
      <w:pPr/>
      <w:r>
        <w:rPr/>
        <w:t xml:space="preserve">وتوفي ولم يحج ودفن بروضة أبي بكر الخزرجي وحضر جنازته السلطان وخلق لا يحصون كثرة متبركين به وذلك في سنة ثنتين وخمسين وستمائة ومولده سنة سبع وستمائة رحمه الله تعالى. ومن شعره:</w:t>
      </w:r>
    </w:p>
    <w:p/>
    <w:p>
      <w:pPr>
        <w:jc w:val="center"/>
      </w:pPr>
      <w:r>
        <w:rPr>
          <w:color w:val="ff0000"/>
        </w:rPr>
        <w:t xml:space="preserve">ابخل بدينك إن أردت سلامة </w:t>
      </w:r>
      <w:r>
        <w:rPr>
          <w:color w:val="ff0000"/>
        </w:rPr>
        <w:t xml:space="preserve">      </w:t>
      </w:r>
      <w:r>
        <w:rPr>
          <w:color w:val="ff0000"/>
        </w:rPr>
        <w:t xml:space="preserve"> وابخل بمالك إن أردت هلاكا</w:t>
      </w:r>
    </w:p>
    <w:p/>
    <w:p>
      <w:pPr>
        <w:jc w:val="center"/>
      </w:pPr>
      <w:r>
        <w:rPr>
          <w:color w:val="ff0000"/>
        </w:rPr>
        <w:t xml:space="preserve">بخل وبخل والسلامة والردى </w:t>
      </w:r>
      <w:r>
        <w:rPr>
          <w:color w:val="ff0000"/>
        </w:rPr>
        <w:t xml:space="preserve">      </w:t>
      </w:r>
      <w:r>
        <w:rPr>
          <w:color w:val="ff0000"/>
        </w:rPr>
        <w:t xml:space="preserve"> ضمناهما: عجبا لذا ولذاكا؟</w:t>
      </w:r>
    </w:p>
    <w:p/>
    <w:p>
      <w:pPr/>
      <w:r>
        <w:rPr/>
        <w:t xml:space="preserve">وله:</w:t>
      </w:r>
    </w:p>
    <w:p/>
    <w:p>
      <w:pPr>
        <w:jc w:val="center"/>
      </w:pPr>
      <w:r>
        <w:rPr>
          <w:color w:val="ff0000"/>
        </w:rPr>
        <w:t xml:space="preserve">ألا قف بباب الجود واقرعه مدمنا </w:t>
      </w:r>
      <w:r>
        <w:rPr>
          <w:color w:val="ff0000"/>
        </w:rPr>
        <w:t xml:space="preserve">      </w:t>
      </w:r>
      <w:r>
        <w:rPr>
          <w:color w:val="ff0000"/>
        </w:rPr>
        <w:t xml:space="preserve"> تجده متى ما جئته غير مرتج</w:t>
      </w:r>
    </w:p>
    <w:p/>
    <w:p>
      <w:pPr>
        <w:jc w:val="center"/>
      </w:pPr>
      <w:r>
        <w:rPr>
          <w:color w:val="ff0000"/>
        </w:rPr>
        <w:t xml:space="preserve">وقل: عبد سوء خوفته ذنوبه </w:t>
      </w:r>
      <w:r>
        <w:rPr>
          <w:color w:val="ff0000"/>
        </w:rPr>
        <w:t xml:space="preserve">      </w:t>
      </w:r>
      <w:r>
        <w:rPr>
          <w:color w:val="ff0000"/>
        </w:rPr>
        <w:t xml:space="preserve"> فمد إليكم ضارعا كف مرتج</w:t>
      </w:r>
    </w:p>
    <w:p/>
    <w:p>
      <w:pPr/>
      <w:r>
        <w:rPr/>
        <w:t xml:space="preserve">وشعره كثير في طريقة الزهد والحكم وما يشبه ذلك ولم يكن يسامح نفسه في نظم نسيب.</w:t>
      </w:r>
    </w:p>
    <w:p>
      <w:pPr>
        <w:jc w:val="start"/>
        <w:bidi/>
      </w:pPr>
      <w:r>
        <w:rPr>
          <w:sz w:val="24"/>
          <w:szCs w:val="24"/>
          <w:b w:val="1"/>
          <w:bCs w:val="1"/>
          <w:rtl/>
        </w:rPr>
        <w:t xml:space="preserve">
الديباج المذهب في معرفة أعيان علماء المذهب،(دار التراث للطبع والنشر - القاهرة،2005،ط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2026-05-12T04:58:53+03:00</dcterms:created>
  <dcterms:modified xsi:type="dcterms:W3CDTF">2026-05-12T04:58:53+03:00</dcterms:modified>
</cp:coreProperties>
</file>

<file path=docProps/custom.xml><?xml version="1.0" encoding="utf-8"?>
<Properties xmlns="http://schemas.openxmlformats.org/officeDocument/2006/custom-properties" xmlns:vt="http://schemas.openxmlformats.org/officeDocument/2006/docPropsVTypes"/>
</file>