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يحيى بن جزي
</w:t>
      </w:r>
    </w:p>
    <w:p>
      <w:pPr>
        <w:jc w:val="start"/>
        <w:bidi/>
      </w:pPr>
      <w:r>
        <w:rPr>
          <w:rFonts w:ascii="arial" w:hAnsi="arial" w:eastAsia="arial" w:cs="arial"/>
          <w:sz w:val="28"/>
          <w:szCs w:val="28"/>
          <w:b w:val="1"/>
          <w:bCs w:val="1"/>
          <w:rtl/>
        </w:rPr>
        <w:t xml:space="preserve">أحمد بن محمد بن عبد الله بن يحيى بن جزي
</w:t>
      </w:r>
    </w:p>
    <w:p>
      <w:pPr/>
      <w:r>
        <w:rPr/>
        <w:t xml:space="preserve">أحمد بن محمد بن عبد الله بن يحيى بن جزي ويكنى أبا جعفر أصالته شهيرة وكان من أهل الفضل والنزاهة ورشح إلى رتب سلفه له مشاركة حسنة في فنون من فقه وعربية وأدب ورواية وحفظ وشعره جيد قرأ على والده أبي القاسم وتفقه به وقرأ على غيره من معاصري أبيه وولي قضاء غرناطة وغيرها. وله تقييد في الفقه على كتاب والده المسمى بالقوانين الفقهية ورجز في الفرائض يتضمن العمل. مولده سنة خمس عشرة وسبعمائة قال بن الخطيب في الإحاطة: وهو الآن بالحياة.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جزي الكلبي يكنى أبا جعفر
</w:t>
      </w:r>
    </w:p>
    <w:p>
      <w:pPr/>
      <w:r>
        <w:rPr/>
        <w:t xml:space="preserve">أحمد بن محمد بن عبد الله بن جزي الكلبي يكنى أبا جعفر. توفي عام 785.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2026-05-12T03:52:30+03:00</dcterms:created>
  <dcterms:modified xsi:type="dcterms:W3CDTF">2026-05-12T03:52:30+03:00</dcterms:modified>
</cp:coreProperties>
</file>

<file path=docProps/custom.xml><?xml version="1.0" encoding="utf-8"?>
<Properties xmlns="http://schemas.openxmlformats.org/officeDocument/2006/custom-properties" xmlns:vt="http://schemas.openxmlformats.org/officeDocument/2006/docPropsVTypes"/>
</file>