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زرق أبو جعفر الأموي
</w:t>
      </w:r>
    </w:p>
    <w:p>
      <w:pPr>
        <w:jc w:val="start"/>
        <w:bidi/>
      </w:pPr>
      <w:r>
        <w:rPr>
          <w:rFonts w:ascii="arial" w:hAnsi="arial" w:eastAsia="arial" w:cs="arial"/>
          <w:sz w:val="28"/>
          <w:szCs w:val="28"/>
          <w:b w:val="1"/>
          <w:bCs w:val="1"/>
          <w:rtl/>
        </w:rPr>
        <w:t xml:space="preserve">أحمد بن محمد بن زرق أبو جعفر الأموي
</w:t>
      </w:r>
    </w:p>
    <w:p>
      <w:pPr/>
      <w:r>
        <w:rPr/>
        <w:t xml:space="preserve">أحمد بن محمد بن زرق أبو جعفر الأموي قرطبي جليل من أهل الفقه والمسائل تفقه بابن القطان وانتفع به وبغيره من شيوخ قرطبة وولي الشورى بقرطبة. وكان حافظا ذاكرا تفقه عليه القرطبيون وخرج به جماعة جلة كأبي الوليد بن رشد وصاحبه أبي القاسم: أصبغ بن محمد وأبى الوليد هشام بن أحمد وأبي عبد الله بن الجراح وأبي محمد بن أبي جعفر المرسي.</w:t>
      </w:r>
    </w:p>
    <w:p/>
    <w:p>
      <w:pPr/>
      <w:r>
        <w:rPr/>
        <w:t xml:space="preserve">وكان رحمه الله تعالى مختصرا في شأنه وملبسه وما فارق السوق.</w:t>
      </w:r>
    </w:p>
    <w:p/>
    <w:p>
      <w:pPr/>
      <w:r>
        <w:rPr/>
        <w:t xml:space="preserve">وكان صهر بن عتاب على ابنته. مات فجأة سنة سبع وسبعين وأربعمائة ولد سنة سبع وعشرين.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2026-05-12T03:52:33+03:00</dcterms:created>
  <dcterms:modified xsi:type="dcterms:W3CDTF">2026-05-12T03:52:33+03:00</dcterms:modified>
</cp:coreProperties>
</file>

<file path=docProps/custom.xml><?xml version="1.0" encoding="utf-8"?>
<Properties xmlns="http://schemas.openxmlformats.org/officeDocument/2006/custom-properties" xmlns:vt="http://schemas.openxmlformats.org/officeDocument/2006/docPropsVTypes"/>
</file>