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الله الخولاني أبو بكر
</w:t>
      </w:r>
    </w:p>
    <w:p>
      <w:pPr>
        <w:jc w:val="start"/>
        <w:bidi/>
      </w:pPr>
      <w:r>
        <w:rPr>
          <w:rFonts w:ascii="arial" w:hAnsi="arial" w:eastAsia="arial" w:cs="arial"/>
          <w:sz w:val="28"/>
          <w:szCs w:val="28"/>
          <w:b w:val="1"/>
          <w:bCs w:val="1"/>
          <w:rtl/>
        </w:rPr>
        <w:t xml:space="preserve">أحمد بن عبد الرحمن بن عبد الله الخولاني أبو بكر
</w:t>
      </w:r>
    </w:p>
    <w:p>
      <w:pPr/>
      <w:r>
        <w:rPr/>
        <w:t xml:space="preserve">أحمد بن عبد الرحمن بن عبد الله الخولاني أبو بكر من أهل القيروان وشيخ فقهائها في وقته مع صاحبه أبي عمران الفاسي وكان أبو بكر فقيها حافظا دينا تفقه بأبي محمد وأبي الحسن وسمع</w:t>
      </w:r>
    </w:p>
    <w:p/>
    <w:p>
      <w:pPr/>
      <w:r>
        <w:rPr/>
        <w:t xml:space="preserve">منهما ومن شيوخ غيرهما من أفريقية وسمع بمصر من القفال وغيره وتفقه عليه خلق كثير كأبي القاسم بن محرز وأبي إسحاق التونسي وأبي القاسم السيوري وأبي حفص العطار وأبي محمد: عبد الحق وغيرهم.</w:t>
      </w:r>
    </w:p>
    <w:p/>
    <w:p>
      <w:pPr/>
      <w:r>
        <w:rPr/>
        <w:t xml:space="preserve">وحاز الذكر ورياسة الدين في المغرب مع صاحبه في وقته حتى لم يكن لأحد معهما في المغرب اسم يعرف. وتوفي سنة اثنين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2026-05-12T03:56:09+03:00</dcterms:created>
  <dcterms:modified xsi:type="dcterms:W3CDTF">2026-05-12T03:56:09+03:00</dcterms:modified>
</cp:coreProperties>
</file>

<file path=docProps/custom.xml><?xml version="1.0" encoding="utf-8"?>
<Properties xmlns="http://schemas.openxmlformats.org/officeDocument/2006/custom-properties" xmlns:vt="http://schemas.openxmlformats.org/officeDocument/2006/docPropsVTypes"/>
</file>