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مطر بن ناجية
</w:t>
      </w:r>
    </w:p>
    <w:p>
      <w:pPr>
        <w:jc w:val="start"/>
        <w:bidi/>
      </w:pPr>
      <w:r>
        <w:rPr>
          <w:rFonts w:ascii="arial" w:hAnsi="arial" w:eastAsia="arial" w:cs="arial"/>
          <w:sz w:val="28"/>
          <w:szCs w:val="28"/>
          <w:b w:val="1"/>
          <w:bCs w:val="1"/>
          <w:rtl/>
        </w:rPr>
        <w:t xml:space="preserve">مطر بن ناجية
</w:t>
      </w:r>
    </w:p>
    <w:p>
      <w:pPr/>
      <w:r>
        <w:rPr/>
        <w:t xml:space="preserve">مطر بن ناجية  مطر بن ناجية الرياحي، من بني يربوع، من تميم ثائر، من الشجعان. كان في ايام ولاية الحجاج بالعراق يتولى (المعونة) ولما خرج ابن الاشعث (عبد الرحمن بن محمد) وحارب الحجاج في البصرة، قام مطر باهل الكوفة، فاخرجوا منها عبد الرحمن الخضرمي عامل الحجاج، وتولى (مطر) امرها (سنة82هـ) واقبل ابن الاشعث من البصرة، فخرج أهل الكوفة لاستقباله، وامتنع مطر بجماعة من تميم، في القصر، فاصعد ابن الاشعث رجالا في السلاليم فدخلوا القصر وجيء بمطر، فحبسه ثم اطلقه فصار من رجاله. </w:t>
      </w:r>
    </w:p>
    <w:p>
      <w:pPr>
        <w:jc w:val="start"/>
        <w:bidi/>
      </w:pPr>
      <w:r>
        <w:rPr>
          <w:sz w:val="24"/>
          <w:szCs w:val="24"/>
          <w:b w:val="1"/>
          <w:bCs w:val="1"/>
          <w:rtl/>
        </w:rPr>
        <w:t xml:space="preserve">
الأعلام،(دار العلم للملايين - بيروت،2002،ط 15،ج 7،ص 250)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2026-05-16T14:35:56+03:00</dcterms:created>
  <dcterms:modified xsi:type="dcterms:W3CDTF">2026-05-16T14:35:56+03:00</dcterms:modified>
</cp:coreProperties>
</file>

<file path=docProps/custom.xml><?xml version="1.0" encoding="utf-8"?>
<Properties xmlns="http://schemas.openxmlformats.org/officeDocument/2006/custom-properties" xmlns:vt="http://schemas.openxmlformats.org/officeDocument/2006/docPropsVTypes"/>
</file>