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أبي يعلى
</w:t>
      </w:r>
    </w:p>
    <w:p>
      <w:pPr>
        <w:jc w:val="start"/>
        <w:bidi/>
      </w:pPr>
      <w:r>
        <w:rPr>
          <w:rFonts w:ascii="arial" w:hAnsi="arial" w:eastAsia="arial" w:cs="arial"/>
          <w:sz w:val="28"/>
          <w:szCs w:val="28"/>
          <w:b w:val="1"/>
          <w:bCs w:val="1"/>
          <w:rtl/>
        </w:rPr>
        <w:t xml:space="preserve">أحمد بن أبي يعلى
</w:t>
      </w:r>
    </w:p>
    <w:p>
      <w:pPr/>
      <w:r>
        <w:rPr/>
        <w:t xml:space="preserve">أحمد بن أبي يعلى من أهل العراق ثم من أهل حماد.</w:t>
      </w:r>
    </w:p>
    <w:p/>
    <w:p>
      <w:pPr/>
      <w:r>
        <w:rPr/>
        <w:t xml:space="preserve">سمع من شيوخ آله ومن جماعة كثيرة من الأعيان وروى عنه أبو عمر الطلمنكي وأبو عمر الباجي وابنه أبو عبد الله وألف كتاب اللقطة وكتاب الحجة في القبلة وكتاب الرد على الشافعي وحدث بتصانيف القاضي إسماعيل. وكان فقيها عالما وكان آخر من روي عنه العلم من آل حماد بن زيد وقد أقام العلم في هذا البيت نحو أربعمائة سنة.</w:t>
      </w:r>
    </w:p>
    <w:p>
      <w:pPr>
        <w:jc w:val="start"/>
        <w:bidi/>
      </w:pPr>
      <w:r>
        <w:rPr>
          <w:sz w:val="24"/>
          <w:szCs w:val="24"/>
          <w:b w:val="1"/>
          <w:bCs w:val="1"/>
          <w:rtl/>
        </w:rPr>
        <w:t xml:space="preserve">
الديباج المذهب في معرفة أعيان علماء المذهب،(دار التراث للطبع والنشر - القاهرة،2005،ط 1،ج 1،ص 173)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2026-05-12T02:59:53+03:00</dcterms:created>
  <dcterms:modified xsi:type="dcterms:W3CDTF">2026-05-12T02:59:53+03:00</dcterms:modified>
</cp:coreProperties>
</file>

<file path=docProps/custom.xml><?xml version="1.0" encoding="utf-8"?>
<Properties xmlns="http://schemas.openxmlformats.org/officeDocument/2006/custom-properties" xmlns:vt="http://schemas.openxmlformats.org/officeDocument/2006/docPropsVTypes"/>
</file>