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بن مخلد
</w:t>
      </w:r>
    </w:p>
    <w:p>
      <w:pPr>
        <w:jc w:val="start"/>
        <w:bidi/>
      </w:pPr>
      <w:r>
        <w:rPr>
          <w:rFonts w:ascii="arial" w:hAnsi="arial" w:eastAsia="arial" w:cs="arial"/>
          <w:sz w:val="28"/>
          <w:szCs w:val="28"/>
          <w:b w:val="1"/>
          <w:bCs w:val="1"/>
          <w:rtl/>
        </w:rPr>
        <w:t xml:space="preserve">أحمد بن موسى بن مخلد
</w:t>
      </w:r>
    </w:p>
    <w:p>
      <w:pPr/>
      <w:r>
        <w:rPr/>
        <w:t xml:space="preserve">أحمد بن موسى بن مخلد من العجم وينتمي إلى غافق ويقال له عيشون كنيته أبو عياش شيخ صالح ثقة فقيه زاهد متعبد فاضل ورع ضابط صحيح الكتاب حسن</w:t>
      </w:r>
    </w:p>
    <w:p/>
    <w:p>
      <w:pPr/>
      <w:r>
        <w:rPr/>
        <w:t xml:space="preserve">التقييد عالم بكتبه معدود في كبار أصحاب سحنون وعليه اعتمد. سمع منه ومن بن رمح وأبي إسحاق البرقي والوقار وغيرهم. سمع منه أبو العرب وأبو القاسم بن تمام وعبد الله بن مسرور وغير واحد من الجلة. وكان مجاب الدعوة. مسألة: وسئل عن التجارة في القمح وحكرته فأباح ذلك في وقت كثرته ورخصه ومنعه في وقت غلائه إلا ما لا بد منه للقوت. وقال: هذا بخلاف الزيت. يريد إباحته في كل وقت واحتج بأن بن المسيب كان يحتكر الزيت. ويقطع له ولغيره بأنه مؤمن عند الله على رأي محمد بن سحنون ومن قاله قبله. توفي في صفر سنة خمس وتسعين ومائتين. مولده سنة سبع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2026-05-14T12:07:42+03:00</dcterms:created>
  <dcterms:modified xsi:type="dcterms:W3CDTF">2026-05-14T12:07:42+03:00</dcterms:modified>
</cp:coreProperties>
</file>

<file path=docProps/custom.xml><?xml version="1.0" encoding="utf-8"?>
<Properties xmlns="http://schemas.openxmlformats.org/officeDocument/2006/custom-properties" xmlns:vt="http://schemas.openxmlformats.org/officeDocument/2006/docPropsVTypes"/>
</file>