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سليمان بن أبي العز بن وهب بن عطاء
</w:t>
      </w:r>
    </w:p>
    <w:p>
      <w:pPr>
        <w:jc w:val="start"/>
        <w:bidi/>
      </w:pPr>
      <w:r>
        <w:rPr>
          <w:rFonts w:ascii="arial" w:hAnsi="arial" w:eastAsia="arial" w:cs="arial"/>
          <w:sz w:val="28"/>
          <w:szCs w:val="28"/>
          <w:b w:val="1"/>
          <w:bCs w:val="1"/>
          <w:rtl/>
        </w:rPr>
        <w:t xml:space="preserve">يوسف بن محمد بن سليمان بن أبي العز بن وهب بن عطاء
</w:t>
      </w:r>
    </w:p>
    <w:p>
      <w:pPr/>
      <w:r>
        <w:rPr/>
        <w:t xml:space="preserve">يوسف بن محمد بن سليمان بن أبي العز بن وهب بن عطاء يوسف بن محمد بن سليمان بن أبي العز بن وهب بن عطاء جمال الدين الأذرعي الحنفي ولد سنة 651 وسمع من الرضي ابن البرهان وله إجازة من عثمان ابن خطيب القرافة وأبي علي البكري وغيرهما وتعانى الخدم وتفقه ودرس بالإقبالية والعذراوية وولي نظر الجامع وتوكل لجماعة من الأمراء ذكره البرزالي وابن رافع في معجميهما وسمع منه العز ابن جماعة ومات في ثالث صفر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2026-06-13T18:47:14+03:00</dcterms:created>
  <dcterms:modified xsi:type="dcterms:W3CDTF">2026-06-13T18:47:14+03:00</dcterms:modified>
</cp:coreProperties>
</file>

<file path=docProps/custom.xml><?xml version="1.0" encoding="utf-8"?>
<Properties xmlns="http://schemas.openxmlformats.org/officeDocument/2006/custom-properties" xmlns:vt="http://schemas.openxmlformats.org/officeDocument/2006/docPropsVTypes"/>
</file>