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عبد الرحمن الخواجا الكبير جمال الدين
</w:t>
      </w:r>
    </w:p>
    <w:p>
      <w:pPr>
        <w:jc w:val="start"/>
        <w:bidi/>
      </w:pPr>
      <w:r>
        <w:rPr>
          <w:rFonts w:ascii="arial" w:hAnsi="arial" w:eastAsia="arial" w:cs="arial"/>
          <w:sz w:val="28"/>
          <w:szCs w:val="28"/>
          <w:b w:val="1"/>
          <w:bCs w:val="1"/>
          <w:rtl/>
        </w:rPr>
        <w:t xml:space="preserve">يوسف بن علي بن عبد الرحمن الخواجا الكبير جمال الدين
</w:t>
      </w:r>
    </w:p>
    <w:p>
      <w:pPr/>
      <w:r>
        <w:rPr/>
        <w:t xml:space="preserve">يوسف بن علي بن عبد الرحمن الخواجا الكبير جمال الدين يوسف بن علي بن عبد الرحمن الخواجا الكبير جمال الدين الدروي نزيل حلب كان تاجرا رئيسا كبيرا شيخا حسنا عنده حشمة ومروءة ومكارم أخلاق وعصبية وفيه دين وكياسة ومواظبة على فعل الخير والصلوات والقيام مع الأصحاب وقضاء حوائج الناس ووقف على قراءة البخاري بجامع حلب وكان يحتفل به ويجيء من بيته ليلا وربما كان يجئ في الشتاء حافيا إلى الجامع الأعظم لسماع الصحيح كل يوم بعد صلاة الصبح ويجلس بالجامع بعد القراءة إلى أن يصلي الضحى ثم يتوجه إلى حانوته لقضاء حوائج الناس ويعطي الخلع يوم ختمه وسائر أهل حلب يعظمونه ويحترمونه وكلمته نافذة مسموعة عند الأمراء والحكام أنفق عدة ألوف دراهم على جهات البر ومكارم الناس ومات سنة 795 بحلب وكانت جنازته مشهودة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2026-06-13T18:45:31+03:00</dcterms:created>
  <dcterms:modified xsi:type="dcterms:W3CDTF">2026-06-13T18:45:31+03:00</dcterms:modified>
</cp:coreProperties>
</file>

<file path=docProps/custom.xml><?xml version="1.0" encoding="utf-8"?>
<Properties xmlns="http://schemas.openxmlformats.org/officeDocument/2006/custom-properties" xmlns:vt="http://schemas.openxmlformats.org/officeDocument/2006/docPropsVTypes"/>
</file>