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الحسين بن سليمان بن فزارة الحنفي
</w:t>
      </w:r>
    </w:p>
    <w:p>
      <w:pPr>
        <w:jc w:val="start"/>
        <w:bidi/>
      </w:pPr>
      <w:r>
        <w:rPr>
          <w:rFonts w:ascii="arial" w:hAnsi="arial" w:eastAsia="arial" w:cs="arial"/>
          <w:sz w:val="28"/>
          <w:szCs w:val="28"/>
          <w:b w:val="1"/>
          <w:bCs w:val="1"/>
          <w:rtl/>
        </w:rPr>
        <w:t xml:space="preserve">يوسف بن أحمد بن الحسين بن سليمان بن فزارة الحنفي
</w:t>
      </w:r>
    </w:p>
    <w:p>
      <w:pPr/>
      <w:r>
        <w:rPr/>
        <w:t xml:space="preserve">يوسف بن أحمد بن الحسين بن سليمان بن فزارة الحنفي يوسف بن أحمد بن الحسين بن سليمان بن فزارة الحنفي المعروف بابن الكفري جمال الدين ولد سنة 724 واشتغل بالعلم وسمع الحديث من ابن الشحنة وزينب ومحمد ابني الخباز وأفتى ودرس وخطب وجعل مع من ابن والده شريكا في القضاء سنة 63 ولقب قاضي القضاة وخلع عليه ثم نزل أبوه عن المنصب فاستقل به وذكره الذهبي في المعجم المختص فقال قرأ الكثير له محفوظات في العلوم وقال ابن رافع كان بارعا في العربية ومات في صفر سنة 766 عاش أبوه بعده عشر سنين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2026-05-14T12:12:45+03:00</dcterms:created>
  <dcterms:modified xsi:type="dcterms:W3CDTF">2026-05-14T12:12:45+03:00</dcterms:modified>
</cp:coreProperties>
</file>

<file path=docProps/custom.xml><?xml version="1.0" encoding="utf-8"?>
<Properties xmlns="http://schemas.openxmlformats.org/officeDocument/2006/custom-properties" xmlns:vt="http://schemas.openxmlformats.org/officeDocument/2006/docPropsVTypes"/>
</file>