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عمر بن رخو بن عبد الله بن عبد الحق
</w:t>
      </w:r>
    </w:p>
    <w:p>
      <w:pPr>
        <w:jc w:val="start"/>
        <w:bidi/>
      </w:pPr>
      <w:r>
        <w:rPr>
          <w:rFonts w:ascii="arial" w:hAnsi="arial" w:eastAsia="arial" w:cs="arial"/>
          <w:sz w:val="28"/>
          <w:szCs w:val="28"/>
          <w:b w:val="1"/>
          <w:bCs w:val="1"/>
          <w:rtl/>
        </w:rPr>
        <w:t xml:space="preserve">يحيى بن عمر بن رخو بن عبد الله بن عبد الحق
</w:t>
      </w:r>
    </w:p>
    <w:p>
      <w:pPr/>
      <w:r>
        <w:rPr/>
        <w:t xml:space="preserve">يحيى بن عمر بن رخو بن عبد الله بن عبد الحق يحيى بن عمر بن رخو بن عبد الله بن عبد الحق المريني شيخ الغزاة بالأندلس قال ابن الخطيب ولد سنة 691 وكان رئيسا أصيلا شجاعا داهية شديد التيقظ عارفا بأحوال قبيلته تولى رياستهم سنة 727 عوضا عن شيخ الغزاة عثمان بن أبي العلاء بعناية الوزير ابن المحروق فلما قبض عليه عاد ابن أبي العلاء إلى المشيخة وذلك في سنة 729 ثم رجع الأمر إلى أبي زكريا ساعة واستمر إلى أن صارت الدولة لمحمد بن إسماعيل ابن نصر سنة ... وستين فعزله ففر إلى الفرنج فأكرمه ملكها ثم رضي عنه السلطان فأعاده إلى مكانه واستمر إلى أن قبض السلطان على ولده عثمان وأخيه وآل بيته فسجنوا أجمعين ثم نفاهم أجمعين</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2026-05-12T03:08:23+03:00</dcterms:created>
  <dcterms:modified xsi:type="dcterms:W3CDTF">2026-05-12T03:08:23+03:00</dcterms:modified>
</cp:coreProperties>
</file>

<file path=docProps/custom.xml><?xml version="1.0" encoding="utf-8"?>
<Properties xmlns="http://schemas.openxmlformats.org/officeDocument/2006/custom-properties" xmlns:vt="http://schemas.openxmlformats.org/officeDocument/2006/docPropsVTypes"/>
</file>