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الله بن أبي العلاء بن عبد الله بن عبد الحق
</w:t>
      </w:r>
    </w:p>
    <w:p>
      <w:pPr>
        <w:jc w:val="start"/>
        <w:bidi/>
      </w:pPr>
      <w:r>
        <w:rPr>
          <w:rFonts w:ascii="arial" w:hAnsi="arial" w:eastAsia="arial" w:cs="arial"/>
          <w:sz w:val="28"/>
          <w:szCs w:val="28"/>
          <w:b w:val="1"/>
          <w:bCs w:val="1"/>
          <w:rtl/>
        </w:rPr>
        <w:t xml:space="preserve">يحيى بن عبد الله بن أبي العلاء بن عبد الله بن عبد الحق
</w:t>
      </w:r>
    </w:p>
    <w:p>
      <w:pPr/>
      <w:r>
        <w:rPr/>
        <w:t xml:space="preserve">يحيى بن عبد الله بن أبي العلاء بن عبد الله بن عبد الحق يحيى بن عبد الله بن أبي العلاء بن عبد الله بن عبد الحق المريني أبو يحيى شيخ الجند بمالقة ولد سنة 664 قال ابن الخطيب اشتهر بالفضل والعقل والدين كان يجالس الفقهاء ويصاحب الصلحاء ويقتني الكتب ويفعل الخير ولم يزل رأسا يرجع إليه في حل المعضلات إلى أن مات في ربيع الآخر سنة 740 وقد أكمل في مدة عمره ثلاثا وسبعين غزوة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2026-05-14T12:13:01+03:00</dcterms:created>
  <dcterms:modified xsi:type="dcterms:W3CDTF">2026-05-14T12:13:01+03:00</dcterms:modified>
</cp:coreProperties>
</file>

<file path=docProps/custom.xml><?xml version="1.0" encoding="utf-8"?>
<Properties xmlns="http://schemas.openxmlformats.org/officeDocument/2006/custom-properties" xmlns:vt="http://schemas.openxmlformats.org/officeDocument/2006/docPropsVTypes"/>
</file>