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علي بن أبي العز ابن يوسف بن أبي العز ابن دوالة
</w:t>
      </w:r>
    </w:p>
    <w:p>
      <w:pPr>
        <w:jc w:val="start"/>
        <w:bidi/>
      </w:pPr>
      <w:r>
        <w:rPr>
          <w:rFonts w:ascii="arial" w:hAnsi="arial" w:eastAsia="arial" w:cs="arial"/>
          <w:sz w:val="28"/>
          <w:szCs w:val="28"/>
          <w:b w:val="1"/>
          <w:bCs w:val="1"/>
          <w:rtl/>
        </w:rPr>
        <w:t xml:space="preserve">هلال بن علي بن أبي العز ابن يوسف بن أبي العز ابن دوالة
</w:t>
      </w:r>
    </w:p>
    <w:p>
      <w:pPr/>
      <w:r>
        <w:rPr/>
        <w:t xml:space="preserve">هلال بن علي بن أبي العز ابن يوسف بن أبي العز ابن دوالة هلال بن علي بن أبي العز ابن يوسف بن أبي العز ابن دوالة الحراني أبو البدر النساج ولد في مستهل ذي الحجة سنة 2 - أو 653 وسمع من النجيب والعز الحرانيين وعبد العزيز بن عبد القادر وأحمد بن طرخان وغيرهم سمع منه البرزالي والذهبي وابن رافع وقالوا مات سنة 723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علي بن أبي العز أبو علي الحراني الطيان ثم المتعيش
</w:t>
      </w:r>
    </w:p>
    <w:p>
      <w:pPr/>
      <w:r>
        <w:rPr/>
        <w:t xml:space="preserve">هلال بن علي بن أبي العز أبو علي الحراني الطيان ثم المتعيش رجل مبارك قنوع، روى عن عبد اللطيف، قرأت عليه أحاديث.</w:t>
      </w:r>
    </w:p>
    <w:p/>
    <w:p>
      <w:pPr/>
      <w:r>
        <w:rPr/>
        <w:t xml:space="preserve">مات في شوال عن إحدى وسبعين سنة في سنة ثلاث وعشرين وسبع مائة، ذهب سماعي منه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2026-05-12T04:59:56+03:00</dcterms:created>
  <dcterms:modified xsi:type="dcterms:W3CDTF">2026-05-12T04:59:56+03:00</dcterms:modified>
</cp:coreProperties>
</file>

<file path=docProps/custom.xml><?xml version="1.0" encoding="utf-8"?>
<Properties xmlns="http://schemas.openxmlformats.org/officeDocument/2006/custom-properties" xmlns:vt="http://schemas.openxmlformats.org/officeDocument/2006/docPropsVTypes"/>
</file>