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حاجي بن محمد البتريزي مصلح الدين الحنفي
</w:t>
      </w:r>
    </w:p>
    <w:p>
      <w:pPr>
        <w:jc w:val="start"/>
        <w:bidi/>
      </w:pPr>
      <w:r>
        <w:rPr>
          <w:rFonts w:ascii="arial" w:hAnsi="arial" w:eastAsia="arial" w:cs="arial"/>
          <w:sz w:val="28"/>
          <w:szCs w:val="28"/>
          <w:b w:val="1"/>
          <w:bCs w:val="1"/>
          <w:rtl/>
        </w:rPr>
        <w:t xml:space="preserve">موسى بن حاجي بن محمد البتريزي مصلح الدين الحنفي
</w:t>
      </w:r>
    </w:p>
    <w:p>
      <w:pPr/>
      <w:r>
        <w:rPr/>
        <w:t xml:space="preserve">موسى بن حاجي بن محمد البتريزي مصلح الدين الحنفي موسى بن حاجي بن محمد البتريزي مصلح الدين الحنفي ولد سنة 669 وتفقه ومهر وقدم دمشق وله شرح على البديع لابن الساعاتي مات راجعا من الحج في وادي بني سالم في العشرين من ذي الحجة سنة 736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2026-05-12T07:05:10+03:00</dcterms:created>
  <dcterms:modified xsi:type="dcterms:W3CDTF">2026-05-12T07:05:10+03:00</dcterms:modified>
</cp:coreProperties>
</file>

<file path=docProps/custom.xml><?xml version="1.0" encoding="utf-8"?>
<Properties xmlns="http://schemas.openxmlformats.org/officeDocument/2006/custom-properties" xmlns:vt="http://schemas.openxmlformats.org/officeDocument/2006/docPropsVTypes"/>
</file>