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أحمد بن عبد الحق بن سدرمان بن فلاح
</w:t>
      </w:r>
    </w:p>
    <w:p>
      <w:pPr>
        <w:jc w:val="start"/>
        <w:bidi/>
      </w:pPr>
      <w:r>
        <w:rPr>
          <w:rFonts w:ascii="arial" w:hAnsi="arial" w:eastAsia="arial" w:cs="arial"/>
          <w:sz w:val="28"/>
          <w:szCs w:val="28"/>
          <w:b w:val="1"/>
          <w:bCs w:val="1"/>
          <w:rtl/>
        </w:rPr>
        <w:t xml:space="preserve">منصور بن أحمد بن عبد الحق بن سدرمان بن فلاح
</w:t>
      </w:r>
    </w:p>
    <w:p>
      <w:pPr/>
      <w:r>
        <w:rPr/>
        <w:t xml:space="preserve">منصور بن أحمد بن عبد الحق بن سدرمان بن فلاح منصور بن أحمد بن عبد الحق بن سدرمان بن فلاح بن تميم بن فائد بن يعلي المشدالي - بفتح الميم والمعجمة وتشديد اللام نسبة إلى قبيلة من زواوة ناصر الدين - أبو علي الزواوي البجاوي ولد سنة 632 وأخذ عن الشيوخ ثم رحل مع أبيه قال ابن رشيد في رحلته رحل في صغره إلى مصر مع أبيه فقرأ بها وتهذبت أخلاقه ورقت طباعه وقرأ على الشيخ عز الدين ابن عبد السلام وسمع صحيح مسلم وموطأ أبي مصعب على أبي إسحاق بن مضر وعلى القطب القسطلاني جامع الترمذي وقال غيره أخذ أيضا عن أبي الفضل المرسي ونبغ ورجع بعلوم جمة من الأصول والفقه والأدب والكلام والتصوف وجمع تصانيف وأقبل على العبادة والأشغال بالعلم وشرح رسالة ابن أبي زيد وأخذ عنه جماعة منهم أبو عبد الله بن مرزوق ومات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2026-05-14T13:27:29+03:00</dcterms:created>
  <dcterms:modified xsi:type="dcterms:W3CDTF">2026-05-14T13:27:29+03:00</dcterms:modified>
</cp:coreProperties>
</file>

<file path=docProps/custom.xml><?xml version="1.0" encoding="utf-8"?>
<Properties xmlns="http://schemas.openxmlformats.org/officeDocument/2006/custom-properties" xmlns:vt="http://schemas.openxmlformats.org/officeDocument/2006/docPropsVTypes"/>
</file>