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محمد بن أحمد بن محمد بن أحمد شرف الدين ابن الشريشي
</w:t>
      </w:r>
    </w:p>
    <w:p>
      <w:pPr>
        <w:jc w:val="start"/>
        <w:bidi/>
      </w:pPr>
      <w:r>
        <w:rPr>
          <w:rFonts w:ascii="arial" w:hAnsi="arial" w:eastAsia="arial" w:cs="arial"/>
          <w:sz w:val="28"/>
          <w:szCs w:val="28"/>
          <w:b w:val="1"/>
          <w:bCs w:val="1"/>
          <w:rtl/>
        </w:rPr>
        <w:t xml:space="preserve">محمود بن محمد بن أحمد بن محمد بن أحمد شرف الدين ابن الشريشي
</w:t>
      </w:r>
    </w:p>
    <w:p>
      <w:pPr/>
      <w:r>
        <w:rPr/>
        <w:t xml:space="preserve">محمود بن محمد بن أحمد بن محمد بن أحمد شرف الدين ابن الشريشي محمود بن محمد بن أحمد بن محمد بن أحمد شرف الدين ابن الشريشي ولد سنة 29 بحمص وأخذ عن أبيه وابن قاضي شهبة وغيرهما واشتغل في الأصول والنحو والمعاني وشارك في الفضائل مشاركة قوية ونشأ في عبادة وتقشف وانجماع ونزل له والده جمال الدين عن البادرائية فانقطع بها منجمعا عن الناس إلى أن مات وقد ناب في الحكم عن التاج السبكي وكان هو المقصود بالفتاوى من البلاد والجهات لحسن كتابته وإتقانها وكان زين الدين القرشي يقول يقبح علينا أن نفتي مع وجود شرف الدين وكان عديم الشر بل كله خير وهو يحسن النظم والنثر قال الشهاب ابن حجي بورك له في رزقه ولم يكن له إلا البادرائية والتدريس بالجامع ومع ذلك فيحسن إلى الطلبة كثيرا ويكرر الحج قال ولم أر في مشايخي أحسن من طريقته ورأيت بخطه في استدعاء مؤرخ سنة 780 كتب فيه أجزت لهم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2026-05-12T10:46:38+03:00</dcterms:created>
  <dcterms:modified xsi:type="dcterms:W3CDTF">2026-05-12T10:46:38+03:00</dcterms:modified>
</cp:coreProperties>
</file>

<file path=docProps/custom.xml><?xml version="1.0" encoding="utf-8"?>
<Properties xmlns="http://schemas.openxmlformats.org/officeDocument/2006/custom-properties" xmlns:vt="http://schemas.openxmlformats.org/officeDocument/2006/docPropsVTypes"/>
</file>