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محمد بن إبراهيم بن سنبلي جمال الدين بن حافظ الدين الحنفي
</w:t>
      </w:r>
    </w:p>
    <w:p>
      <w:pPr>
        <w:jc w:val="start"/>
        <w:bidi/>
      </w:pPr>
      <w:r>
        <w:rPr>
          <w:rFonts w:ascii="arial" w:hAnsi="arial" w:eastAsia="arial" w:cs="arial"/>
          <w:sz w:val="28"/>
          <w:szCs w:val="28"/>
          <w:b w:val="1"/>
          <w:bCs w:val="1"/>
          <w:rtl/>
        </w:rPr>
        <w:t xml:space="preserve">محمود بن محمد بن إبراهيم بن سنبلي جمال الدين بن حافظ الدين الحنفي
</w:t>
      </w:r>
    </w:p>
    <w:p>
      <w:pPr/>
      <w:r>
        <w:rPr/>
        <w:t xml:space="preserve">محمود بن محمد بن إبراهيم بن سنبلي جمال الدين بن حافظ الدين الحنفي محمود بن محمد بن إبراهيم بن سنبلي جمال الدين بن حافظ الدين الحنفي ولد سنة ... وتفقه ومهر في المذهب وناب في الحكم عن جمال الدين ابن العديم ثم ولي قضاء العسكر ثم ولاه الظاهر لما عاد من الكرك إلى السلطنة قضاء حلب عوضا عن محب الدين ابن الشحنة وذلك في سنة 93 فباشر مدة يسيرة ثم انفصل ثم عاد واستمر إلى أن مات وهو قاض في 25 شهر رمضان سنة 799 وعاش ثلاثا وستين سنة وكان حسن المباشرة مشكور السيرة عفيفا وله حرمة عند الترك وغيرهم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2026-05-12T10:48:03+03:00</dcterms:created>
  <dcterms:modified xsi:type="dcterms:W3CDTF">2026-05-12T10:48:03+03:00</dcterms:modified>
</cp:coreProperties>
</file>

<file path=docProps/custom.xml><?xml version="1.0" encoding="utf-8"?>
<Properties xmlns="http://schemas.openxmlformats.org/officeDocument/2006/custom-properties" xmlns:vt="http://schemas.openxmlformats.org/officeDocument/2006/docPropsVTypes"/>
</file>