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هلال العجلوني
</w:t>
      </w:r>
    </w:p>
    <w:p>
      <w:pPr>
        <w:jc w:val="start"/>
        <w:bidi/>
      </w:pPr>
      <w:r>
        <w:rPr>
          <w:rFonts w:ascii="arial" w:hAnsi="arial" w:eastAsia="arial" w:cs="arial"/>
          <w:sz w:val="28"/>
          <w:szCs w:val="28"/>
          <w:b w:val="1"/>
          <w:bCs w:val="1"/>
          <w:rtl/>
        </w:rPr>
        <w:t xml:space="preserve">محمود بن علي بن هلال العجلوني
</w:t>
      </w:r>
    </w:p>
    <w:p>
      <w:pPr/>
      <w:r>
        <w:rPr/>
        <w:t xml:space="preserve">محمود بن علي بن هلال العجلوني محمود بن علي بن هلال العجلوني ولد بعد السبعمائة وسمع من ابن الشحنة فيما قيل وحدث عنه وسمع أيضا من زينب بنت شكر وأبي بكر بن عنتر وتفقه بجماعة منهم الشيخ شرف الدين البارزي فيما ذكر وأنه أجاز له بالإفتاء والتدريس وكذلك أذن له فخر الدين خطيب جبرين بحلب وبرع ودرس وأفتى وطاف البلاد وأخذ عنه جماعة وأذن لهم في الإفتاء وكان يتساهل في ذلك ويأخذ عليه البذل حتى اشتهر بذلك وحدث بالثقفيات عن زينب بنت شكر أنا جعفر وطعن في ذلك الياسوفي والبدر ومن ذكر لي ذلك البرهان الحلبي وكان سمعها عليها فتوقف في روايتها عنه وتزهد في آخر عمره وتقشف ويقال أن أبا البقاء نقم عليه موافقة ابن تيمية في مسائله فبلغه إنكاره فكتب إليه أن الله أعطاني من العلم ما يكفيني لديني ومن الرزق ما يكفيني ومن العمر فوق ما يتذكر فيه من تذكر واستقر مقيما بالقدس إلى أن مات وقد جاوز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2026-05-14T13:44:04+03:00</dcterms:created>
  <dcterms:modified xsi:type="dcterms:W3CDTF">2026-05-14T13:44:04+03:00</dcterms:modified>
</cp:coreProperties>
</file>

<file path=docProps/custom.xml><?xml version="1.0" encoding="utf-8"?>
<Properties xmlns="http://schemas.openxmlformats.org/officeDocument/2006/custom-properties" xmlns:vt="http://schemas.openxmlformats.org/officeDocument/2006/docPropsVTypes"/>
</file>