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فخر الدين ابن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فخر الدين ابن البزار
</w:t>
      </w:r>
    </w:p>
    <w:p>
      <w:pPr/>
      <w:r>
        <w:rPr/>
        <w:t xml:space="preserve">محمد فخر الدين ابن البزار محمد فخر الدين ابن البزار الاسكندراني له نظم فمنه</w:t>
      </w:r>
    </w:p>
    <w:p/>
    <w:p>
      <w:pPr>
        <w:jc w:val="center"/>
      </w:pPr>
      <w:r>
        <w:rPr>
          <w:color w:val="ff0000"/>
        </w:rPr>
        <w:t xml:space="preserve">أرى كل إنسان يرى عيب غيره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ويعمى عن العيب الذي هو فيه</w:t>
      </w:r>
    </w:p>
    <w:p/>
    <w:p>
      <w:pPr>
        <w:jc w:val="center"/>
      </w:pPr>
      <w:r>
        <w:rPr>
          <w:color w:val="ff0000"/>
        </w:rPr>
        <w:t xml:space="preserve">فلا خير فيمن لا يرى عيب 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ويبصر في العيب الذي بأخيه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2026-05-12T11:44:56+03:00</dcterms:created>
  <dcterms:modified xsi:type="dcterms:W3CDTF">2026-05-12T11:44:56+03:00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