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أبي بكر بن هبة الله شمس الدين
</w:t>
      </w:r>
    </w:p>
    <w:p>
      <w:pPr>
        <w:jc w:val="start"/>
        <w:bidi/>
      </w:pPr>
      <w:r>
        <w:rPr>
          <w:rFonts w:ascii="arial" w:hAnsi="arial" w:eastAsia="arial" w:cs="arial"/>
          <w:sz w:val="28"/>
          <w:szCs w:val="28"/>
          <w:b w:val="1"/>
          <w:bCs w:val="1"/>
          <w:rtl/>
        </w:rPr>
        <w:t xml:space="preserve">محمد بن يوسف بن أبي بكر بن هبة الله شمس الدين
</w:t>
      </w:r>
    </w:p>
    <w:p>
      <w:pPr/>
      <w:r>
        <w:rPr/>
        <w:t xml:space="preserve">محمد بن يوسف بن أبي بكر بن هبة الله شمس الدين محمد بن يوسف بن أبي بكر بن هبة الله شمس الدين الجزري المعروف بابن العوام المحوجب قرأ بالسبع وتفقه للشافعي ودرس بالمعزية بعد البرهان السنجاري ودرس أيضا بالمنكوتمرية وولي العقود والفروض عن القاضي الشافعي ومات في شهر رجب سنة 711 وولي المعزية بعده شمس الدين محمد بن يوسف بن عبد الله الجزري خطيب الجامع الطولوني شريكه في اسمه واسم أبيه وبلده ولقبه قال الكمال جعفر كان فاضلا عارفا بالأصول والقراءآت وأخذ الأصول عن الشيخ شمس الدين الأصبهاني بقوص وكان يشارك في الطب ثم غلبت عليه السوداء حتى كان ربما ركب دابته وسار على غير مقصد وقال الكمال جعفر التبس هذا بالذي أخر عنه بعده على كثير من الناس حتى ظنوهما واحدا والصواب التفرقة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2026-05-12T12:53:31+03:00</dcterms:created>
  <dcterms:modified xsi:type="dcterms:W3CDTF">2026-05-12T12:53:31+03:00</dcterms:modified>
</cp:coreProperties>
</file>

<file path=docProps/custom.xml><?xml version="1.0" encoding="utf-8"?>
<Properties xmlns="http://schemas.openxmlformats.org/officeDocument/2006/custom-properties" xmlns:vt="http://schemas.openxmlformats.org/officeDocument/2006/docPropsVTypes"/>
</file>