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خسرو الذهبي ناصر الدين أبو عبد الله
</w:t>
      </w:r>
    </w:p>
    <w:p>
      <w:pPr>
        <w:jc w:val="start"/>
        <w:bidi/>
      </w:pPr>
      <w:r>
        <w:rPr>
          <w:rFonts w:ascii="arial" w:hAnsi="arial" w:eastAsia="arial" w:cs="arial"/>
          <w:sz w:val="28"/>
          <w:szCs w:val="28"/>
          <w:b w:val="1"/>
          <w:bCs w:val="1"/>
          <w:rtl/>
        </w:rPr>
        <w:t xml:space="preserve">محمد بن يوسف بن خسرو الذهبي ناصر الدين أبو عبد الله
</w:t>
      </w:r>
    </w:p>
    <w:p>
      <w:pPr/>
      <w:r>
        <w:rPr/>
        <w:t xml:space="preserve">محمد بن يوسف بن خسرو الذهبي ناصر الدين أبو عبد الله محمد بن يوسف بن خسرو الذهبي ناصر الدين أبو عبد الله سمع من الأبرقوهي مجلس رزق الله وسمع من آخرين وطلب بنفسه وكتب الطباق ثم ترك ولزم صناعته ذكره ابن رافع وقال مات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2026-05-12T14:33:21+03:00</dcterms:created>
  <dcterms:modified xsi:type="dcterms:W3CDTF">2026-05-12T14:33:21+03:00</dcterms:modified>
</cp:coreProperties>
</file>

<file path=docProps/custom.xml><?xml version="1.0" encoding="utf-8"?>
<Properties xmlns="http://schemas.openxmlformats.org/officeDocument/2006/custom-properties" xmlns:vt="http://schemas.openxmlformats.org/officeDocument/2006/docPropsVTypes"/>
</file>