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هبة الله بن أحمد بن يعلى المصري الحنفي
</w:t>
      </w:r>
    </w:p>
    <w:p>
      <w:pPr>
        <w:jc w:val="start"/>
        <w:bidi/>
      </w:pPr>
      <w:r>
        <w:rPr>
          <w:rFonts w:ascii="arial" w:hAnsi="arial" w:eastAsia="arial" w:cs="arial"/>
          <w:sz w:val="28"/>
          <w:szCs w:val="28"/>
          <w:b w:val="1"/>
          <w:bCs w:val="1"/>
          <w:rtl/>
        </w:rPr>
        <w:t xml:space="preserve">محمد بن هبة الله بن أحمد بن يعلى المصري الحنفي
</w:t>
      </w:r>
    </w:p>
    <w:p>
      <w:pPr/>
      <w:r>
        <w:rPr/>
        <w:t xml:space="preserve">محمد بن هبة الله بن أحمد بن يعلى المصري الحنفي محمد بن هبة الله بن أحمد بن يعلى المصري الحنفي بدر الدين يعرف بابن الشجاع تفقه وتميز وأخذ عن العز ابن الفرات وسمع من القطب الحلبي وابن سيد الناس وغيرهما ودرس وأعاد واتفق أن السراج الهندي استنابه في الحكم فحكم يوم الخميس أول يوم من رمضان ومن الغد فتوعك ثم طعن ومات في ليلة الاثنين خامسه من سنة 769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2026-05-12T15:52:23+03:00</dcterms:created>
  <dcterms:modified xsi:type="dcterms:W3CDTF">2026-05-12T15:52:23+03:00</dcterms:modified>
</cp:coreProperties>
</file>

<file path=docProps/custom.xml><?xml version="1.0" encoding="utf-8"?>
<Properties xmlns="http://schemas.openxmlformats.org/officeDocument/2006/custom-properties" xmlns:vt="http://schemas.openxmlformats.org/officeDocument/2006/docPropsVTypes"/>
</file>