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نصر الله بن إسماعيل بن نصر الله
</w:t>
      </w:r>
    </w:p>
    <w:p>
      <w:pPr>
        <w:jc w:val="start"/>
        <w:bidi/>
      </w:pPr>
      <w:r>
        <w:rPr>
          <w:rFonts w:ascii="arial" w:hAnsi="arial" w:eastAsia="arial" w:cs="arial"/>
          <w:sz w:val="28"/>
          <w:szCs w:val="28"/>
          <w:b w:val="1"/>
          <w:bCs w:val="1"/>
          <w:rtl/>
        </w:rPr>
        <w:t xml:space="preserve">محمد بن نصر الله بن إسماعيل بن نصر الله
</w:t>
      </w:r>
    </w:p>
    <w:p>
      <w:pPr/>
      <w:r>
        <w:rPr/>
        <w:t xml:space="preserve">محمد بن نصر الله بن إسماعيل بن نصر الله محمد بن نصر الله بن إسماعيل بن نصر الله بن الخضر بن خليفة بن فضائل بن طلائع الأنصاري الدمشقي جمال الدين ابن النحاس ولد في شهر رجب سنة 639 وسمع من نسيبه العماد ابن النحاس وخطيب مردا وابن سناء الدولة والعماد ابن الخرستاني ومظفر الحنبلي وخالد النابلسي وعبد الرحمن بن سالم في آخرين وتفقه بالشيخ تاج الدين الفزاري ومهر في أول أمره في الفقه وكان يثني على ذهنه وجودة إدراكه حتى أنه كان يقول هذا الذي يخلفني فاتفق أن الكمال أعرض وتشاغل بالكتابة فمهر فيها واشتهر بجودتها وتمادى على ذلك قال البرزالي كان من أرباب المروءة وله في الكتابة تصرف وفيه بر وخير وتواضع ولازم في آخر عمره التلاوة والقيام بالليل والمحافظة على الأوراد وكان يحب إسماع الحديث وحدث بصحيح مسلم والسيرة وخرج له البرزالي مشيخة عن ثلاثة عشر شيخا حدث بها توفي في عاشر ذي القعدة سنة 719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2026-05-12T15:34:03+03:00</dcterms:created>
  <dcterms:modified xsi:type="dcterms:W3CDTF">2026-05-12T15:34:03+03:00</dcterms:modified>
</cp:coreProperties>
</file>

<file path=docProps/custom.xml><?xml version="1.0" encoding="utf-8"?>
<Properties xmlns="http://schemas.openxmlformats.org/officeDocument/2006/custom-properties" xmlns:vt="http://schemas.openxmlformats.org/officeDocument/2006/docPropsVTypes"/>
</file>