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إسحاق بن أحمد الحلبي ثم المقدسي
</w:t>
      </w:r>
    </w:p>
    <w:p>
      <w:pPr>
        <w:jc w:val="start"/>
        <w:bidi/>
      </w:pPr>
      <w:r>
        <w:rPr>
          <w:rFonts w:ascii="arial" w:hAnsi="arial" w:eastAsia="arial" w:cs="arial"/>
          <w:sz w:val="28"/>
          <w:szCs w:val="28"/>
          <w:b w:val="1"/>
          <w:bCs w:val="1"/>
          <w:rtl/>
        </w:rPr>
        <w:t xml:space="preserve">محمد بن محمود بن إسحاق بن أحمد الحلبي ثم المقدسي
</w:t>
      </w:r>
    </w:p>
    <w:p>
      <w:pPr/>
      <w:r>
        <w:rPr/>
        <w:t xml:space="preserve">محمد بن محمود بن إسحاق بن أحمد الحلبي ثم المقدسي محمد بن محمود بن إسحاق بن أحمد الحلبي ثم المقدسي أبو موسى المحدث سمع الكثير من ابن الخباز وابن الحموي وغيرهما ولازم صلاح الدين العلائي وأبا محمود وتخرج بهما وبرع في هذا الشأن وجمع الوفيات وأتقن الفن وصنف تاريخ بيت المقدس وكان حنفيا فتحول عند القاضي تاج الدين السبكي شافعيا مات سنة 776 ولم يتكهل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2026-05-12T17:34:09+03:00</dcterms:created>
  <dcterms:modified xsi:type="dcterms:W3CDTF">2026-05-12T17:34:09+03:00</dcterms:modified>
</cp:coreProperties>
</file>

<file path=docProps/custom.xml><?xml version="1.0" encoding="utf-8"?>
<Properties xmlns="http://schemas.openxmlformats.org/officeDocument/2006/custom-properties" xmlns:vt="http://schemas.openxmlformats.org/officeDocument/2006/docPropsVTypes"/>
</file>