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المهذب بن أبي الغنائم بن أبي القاسم
</w:t>
      </w:r>
    </w:p>
    <w:p>
      <w:pPr>
        <w:jc w:val="start"/>
        <w:bidi/>
      </w:pPr>
      <w:r>
        <w:rPr>
          <w:rFonts w:ascii="arial" w:hAnsi="arial" w:eastAsia="arial" w:cs="arial"/>
          <w:sz w:val="28"/>
          <w:szCs w:val="28"/>
          <w:b w:val="1"/>
          <w:bCs w:val="1"/>
          <w:rtl/>
        </w:rPr>
        <w:t xml:space="preserve">محمد بن محمد المهذب بن أبي الغنائم بن أبي القاسم
</w:t>
      </w:r>
    </w:p>
    <w:p>
      <w:pPr/>
      <w:r>
        <w:rPr/>
        <w:t xml:space="preserve">محمد بن محمد المهذب بن أبي الغنائم بن أبي القاسم محمد بن محمد المهذب بن أبي الغنائم بن أبي القاسم التنوخي شمس الدين الموقع في الشروط على القضاة كان من أعيان الشهود وكتب للقضاة وكان كثير التجمل وسمع من جماعة ومات سنة 714 وكان أبوه فائقا في هذه الصناعة ومات سنة 688 وكذلك ولده أحمد بن محمد الماضي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2026-05-12T17:36:22+03:00</dcterms:created>
  <dcterms:modified xsi:type="dcterms:W3CDTF">2026-05-12T17:36:22+03:00</dcterms:modified>
</cp:coreProperties>
</file>

<file path=docProps/custom.xml><?xml version="1.0" encoding="utf-8"?>
<Properties xmlns="http://schemas.openxmlformats.org/officeDocument/2006/custom-properties" xmlns:vt="http://schemas.openxmlformats.org/officeDocument/2006/docPropsVTypes"/>
</file>