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أبي محمد التبريزي
</w:t>
      </w:r>
    </w:p>
    <w:p>
      <w:pPr>
        <w:jc w:val="start"/>
        <w:bidi/>
      </w:pPr>
      <w:r>
        <w:rPr>
          <w:rFonts w:ascii="arial" w:hAnsi="arial" w:eastAsia="arial" w:cs="arial"/>
          <w:sz w:val="28"/>
          <w:szCs w:val="28"/>
          <w:b w:val="1"/>
          <w:bCs w:val="1"/>
          <w:rtl/>
        </w:rPr>
        <w:t xml:space="preserve">محمد بن أبي محمد التبريزي
</w:t>
      </w:r>
    </w:p>
    <w:p>
      <w:pPr/>
      <w:r>
        <w:rPr/>
        <w:t xml:space="preserve">محمد بن أبي محمد التبريزي محمد بن أبي محمد التبريزي اشتغل ببلده وقدم دمشق فأخذ عن القطب التحتاني وبرع في المعقول ثم دخل مصر وقرر له منكلى بغا بالقاهرة علي المرستان المنصوري معلوما للتدريس به ثم ولي تدريس الجامع المارديني وأعاد بدرس الشافعي وشغل الناس كثيرا وانتفعوا به إلى أن مات في مستهل ذي الحجة سنة 776 </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2026-05-12T17:32:26+03:00</dcterms:created>
  <dcterms:modified xsi:type="dcterms:W3CDTF">2026-05-12T17:32:26+03:00</dcterms:modified>
</cp:coreProperties>
</file>

<file path=docProps/custom.xml><?xml version="1.0" encoding="utf-8"?>
<Properties xmlns="http://schemas.openxmlformats.org/officeDocument/2006/custom-properties" xmlns:vt="http://schemas.openxmlformats.org/officeDocument/2006/docPropsVTypes"/>
</file>