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الفرجوطي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الفرجوطي
</w:t>
      </w:r>
    </w:p>
    <w:p>
      <w:pPr/>
      <w:r>
        <w:rPr/>
        <w:t xml:space="preserve">محمد بن محمد الفرجوطي محمد بن محمد الفرجوطي اشتغل في الفقه والقراءات والآداب وكان حسن الخلق خفيف الرمح أضر بآخرة وهو القائل</w:t>
      </w:r>
    </w:p>
    <w:p/>
    <w:p>
      <w:pPr>
        <w:jc w:val="center"/>
      </w:pPr>
      <w:r>
        <w:rPr>
          <w:color w:val="ff0000"/>
        </w:rPr>
        <w:t xml:space="preserve">وشاعر يزعم من غرة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وفرط جهل أنه يشعر</w:t>
      </w:r>
    </w:p>
    <w:p/>
    <w:p>
      <w:pPr>
        <w:jc w:val="center"/>
      </w:pPr>
      <w:r>
        <w:rPr>
          <w:color w:val="ff0000"/>
        </w:rPr>
        <w:t xml:space="preserve">وينظم الشعر ولكنه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يحدث من فيه ولا يشعر</w:t>
      </w:r>
    </w:p>
    <w:p/>
    <w:p>
      <w:pPr/>
      <w:r>
        <w:rPr/>
        <w:t xml:space="preserve">مات بفرجوط سنة 737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2026-05-14T13:23:18+03:00</dcterms:created>
  <dcterms:modified xsi:type="dcterms:W3CDTF">2026-05-14T13:23:18+03:00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