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أبي العز الحنفي بدر الدين ابن الحرانية
</w:t>
      </w:r>
    </w:p>
    <w:p>
      <w:pPr>
        <w:jc w:val="start"/>
        <w:bidi/>
      </w:pPr>
      <w:r>
        <w:rPr>
          <w:rFonts w:ascii="arial" w:hAnsi="arial" w:eastAsia="arial" w:cs="arial"/>
          <w:sz w:val="28"/>
          <w:szCs w:val="28"/>
          <w:b w:val="1"/>
          <w:bCs w:val="1"/>
          <w:rtl/>
        </w:rPr>
        <w:t xml:space="preserve">محمد بن محمد بن أبي العز الحنفي بدر الدين ابن الحرانية
</w:t>
      </w:r>
    </w:p>
    <w:p>
      <w:pPr/>
      <w:r>
        <w:rPr/>
        <w:t xml:space="preserve">محمد بن محمد بن أبي العز الحنفي بدر الدين ابن الحرانية محمد بن محمد بن أبي العز الحنفي بدر الدين ابن الحرانية المارديني ولد سنة 702 وتفقه واشتغل في الفنون ثم تقدم ومهر وفاق الأقران ودرس بماردين مدة أخذ عنه الشيخ بدر الدين ابن سلامة وأرخ وفاته فيما نقلت من خطه في 16 المحرم سنة 780 وقال صاحب الذيل مات فيه سنة 779 وحدث عنه البرهان الحلبي بالإجازة ولبدر الدين هذا تصانيف منها أرجوزة في الخلاف بين الشافعية والحنفية وأرجوزة في الفرائض ومختصر في أصول الفقه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2026-05-14T13:47:30+03:00</dcterms:created>
  <dcterms:modified xsi:type="dcterms:W3CDTF">2026-05-14T13:47:30+03:00</dcterms:modified>
</cp:coreProperties>
</file>

<file path=docProps/custom.xml><?xml version="1.0" encoding="utf-8"?>
<Properties xmlns="http://schemas.openxmlformats.org/officeDocument/2006/custom-properties" xmlns:vt="http://schemas.openxmlformats.org/officeDocument/2006/docPropsVTypes"/>
</file>