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ابن الحاج أبو عبد الله
</w:t>
      </w:r>
    </w:p>
    <w:p>
      <w:pPr>
        <w:jc w:val="start"/>
        <w:bidi/>
      </w:pPr>
      <w:r>
        <w:rPr>
          <w:rFonts w:ascii="arial" w:hAnsi="arial" w:eastAsia="arial" w:cs="arial"/>
          <w:sz w:val="28"/>
          <w:szCs w:val="28"/>
          <w:b w:val="1"/>
          <w:bCs w:val="1"/>
          <w:rtl/>
        </w:rPr>
        <w:t xml:space="preserve">محمد بن محمد بن محمد ابن الحاج أبو عبد الله
</w:t>
      </w:r>
    </w:p>
    <w:p>
      <w:pPr/>
      <w:r>
        <w:rPr/>
        <w:t xml:space="preserve">محمد بن محمد بن محمد ابن الحاج أبو عبد الله محمد بن محمد بن محمد ابن الحاج أبو عبد الله العبدري الفارسي نزيل مصر سمع ببلاده ثم قدم الديار المصرية وحج وسمع الموطأ من الحافظ تقي الدين عبيد الأسعردي وحدث به ولزم الشيخ أبا محمد بن أبي جمرة فعادت عليه بركاته وصار ملحوظا بالمشيخة والجلالة بمصر وجمع كتابا سماه المدخل كثير الفوائد كشف فيه من معايب وبدع يفلعها الناس ويتساهلون فيها وأكثرها مما ينكر وبعضها مما يحتمل ومات في جمادى الأولى سنة 737 وقد بلغ الثمانين أو جاوزها وأضر في آخر عمره وأقعد ولشيخنا شمس الدين محمد بن علي بن ضرغام بن سكر منه إجازة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2026-05-14T14:58:20+03:00</dcterms:created>
  <dcterms:modified xsi:type="dcterms:W3CDTF">2026-05-14T14:58:20+03:00</dcterms:modified>
</cp:coreProperties>
</file>

<file path=docProps/custom.xml><?xml version="1.0" encoding="utf-8"?>
<Properties xmlns="http://schemas.openxmlformats.org/officeDocument/2006/custom-properties" xmlns:vt="http://schemas.openxmlformats.org/officeDocument/2006/docPropsVTypes"/>
</file>