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الغرناطي
</w:t>
      </w:r>
    </w:p>
    <w:p>
      <w:pPr>
        <w:jc w:val="start"/>
        <w:bidi/>
      </w:pPr>
      <w:r>
        <w:rPr>
          <w:rFonts w:ascii="arial" w:hAnsi="arial" w:eastAsia="arial" w:cs="arial"/>
          <w:sz w:val="28"/>
          <w:szCs w:val="28"/>
          <w:b w:val="1"/>
          <w:bCs w:val="1"/>
          <w:rtl/>
        </w:rPr>
        <w:t xml:space="preserve">محمد بن محمد بن محمد الغرناطي
</w:t>
      </w:r>
    </w:p>
    <w:p>
      <w:pPr/>
      <w:r>
        <w:rPr/>
        <w:t xml:space="preserve">محمد بن محمد بن محمد الغرناطي محمد بن محمد بن محمد الغرناطي نزيل المدينة الشريفة قرأ بالروايات وأحكم الفرائض والحساب وأتقن صناعة الدهان ثم اتصل بالخدام بالمدينة فركنوا إليه واستقر مؤذنا بالحرم الشريف وأمينا على الحواصل واشتهر بالعفة والمعرفة وتأثل بالمدينة مالا فكان يصل به أقاربه لأنه كان في بداية أمره قد جب مذاكيره ثم ندم على ذلك لانقطاع نسله فلما مات وجدوا له طائلا ووقف كتبه وأعتق أرقاءه ومات سنة 754 وله إحدى وثمانون سنة ذكره ابن فرحون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2026-05-14T14:57:28+03:00</dcterms:created>
  <dcterms:modified xsi:type="dcterms:W3CDTF">2026-05-14T14:57:28+03:00</dcterms:modified>
</cp:coreProperties>
</file>

<file path=docProps/custom.xml><?xml version="1.0" encoding="utf-8"?>
<Properties xmlns="http://schemas.openxmlformats.org/officeDocument/2006/custom-properties" xmlns:vt="http://schemas.openxmlformats.org/officeDocument/2006/docPropsVTypes"/>
</file>