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البغدادي ضياء لدين الوراق المصري
</w:t>
      </w:r>
    </w:p>
    <w:p>
      <w:pPr>
        <w:jc w:val="start"/>
        <w:bidi/>
      </w:pPr>
      <w:r>
        <w:rPr>
          <w:rFonts w:ascii="arial" w:hAnsi="arial" w:eastAsia="arial" w:cs="arial"/>
          <w:sz w:val="28"/>
          <w:szCs w:val="28"/>
          <w:b w:val="1"/>
          <w:bCs w:val="1"/>
          <w:rtl/>
        </w:rPr>
        <w:t xml:space="preserve">محمد بن محمد بن محمد البغدادي ضياء لدين الوراق المصري
</w:t>
      </w:r>
    </w:p>
    <w:p>
      <w:pPr/>
      <w:r>
        <w:rPr/>
        <w:t xml:space="preserve">محمد بن محمد بن محمد البغدادي ضياء لدين الوراق المصري محمد بن محمد بن محمد البغدادي ضياء لدين الوراق المصري ولد بعد التسعين وسمع من القاضي سليمان وإسماعيل بن مكتوم وطائفة وكان له خط حلو وخلق حسن مات بالقاهرة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2026-05-14T15:00:52+03:00</dcterms:created>
  <dcterms:modified xsi:type="dcterms:W3CDTF">2026-05-14T15:00:52+03:00</dcterms:modified>
</cp:coreProperties>
</file>

<file path=docProps/custom.xml><?xml version="1.0" encoding="utf-8"?>
<Properties xmlns="http://schemas.openxmlformats.org/officeDocument/2006/custom-properties" xmlns:vt="http://schemas.openxmlformats.org/officeDocument/2006/docPropsVTypes"/>
</file>