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البرلسي
</w:t>
      </w:r>
    </w:p>
    <w:p>
      <w:pPr>
        <w:jc w:val="start"/>
        <w:bidi/>
      </w:pPr>
      <w:r>
        <w:rPr>
          <w:rFonts w:ascii="arial" w:hAnsi="arial" w:eastAsia="arial" w:cs="arial"/>
          <w:sz w:val="28"/>
          <w:szCs w:val="28"/>
          <w:b w:val="1"/>
          <w:bCs w:val="1"/>
          <w:rtl/>
        </w:rPr>
        <w:t xml:space="preserve">البرلسي
</w:t>
      </w:r>
    </w:p>
    <w:p>
      <w:pPr/>
      <w:r>
        <w:rPr/>
        <w:t xml:space="preserve">البرلسي  مصطفى بن رمضان بن عبد الكريم البرنسي البولاقي، ابو يحيى: فقيه مالكي مصري. اصله من البرلس (من غربية مصر) يقال له البولاقي لانه ولد وتوفي في بولاق، بالقاهرة. تصدى للافتاء والتدريس بالازهر (سنة 1223هـ) واستمر إلى وفاته. من كتبه (المنهل السيال في الحرام والحلال-خ) فقه، و (الخطب السنية للجمع الحسينية-ط) و (حاشية على شرح القويسني للسلم –ط) في المنطق و (ديوان خطب –ط) و (السيف اليماني لمن قال بحل سماع الالات والاغاني-خ) رسالة. وله رسائل في الجبر والمقابلة وحساب المثلثات، و (الحصن والجنة على عقيدة أهل السنة-ط). </w:t>
      </w:r>
    </w:p>
    <w:p>
      <w:pPr>
        <w:jc w:val="start"/>
        <w:bidi/>
      </w:pPr>
      <w:r>
        <w:rPr>
          <w:sz w:val="24"/>
          <w:szCs w:val="24"/>
          <w:b w:val="1"/>
          <w:bCs w:val="1"/>
          <w:rtl/>
        </w:rPr>
        <w:t xml:space="preserve">
الأعلام،(دار العلم للملايين - بيروت،2002،ط 15،ج 7،ص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2026-05-16T17:33:56+03:00</dcterms:created>
  <dcterms:modified xsi:type="dcterms:W3CDTF">2026-05-16T17:33:56+03:00</dcterms:modified>
</cp:coreProperties>
</file>

<file path=docProps/custom.xml><?xml version="1.0" encoding="utf-8"?>
<Properties xmlns="http://schemas.openxmlformats.org/officeDocument/2006/custom-properties" xmlns:vt="http://schemas.openxmlformats.org/officeDocument/2006/docPropsVTypes"/>
</file>