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نمير ابن السراج شمس الدين
</w:t>
      </w:r>
    </w:p>
    <w:p>
      <w:pPr>
        <w:jc w:val="start"/>
        <w:bidi/>
      </w:pPr>
      <w:r>
        <w:rPr>
          <w:rFonts w:ascii="arial" w:hAnsi="arial" w:eastAsia="arial" w:cs="arial"/>
          <w:sz w:val="28"/>
          <w:szCs w:val="28"/>
          <w:b w:val="1"/>
          <w:bCs w:val="1"/>
          <w:rtl/>
        </w:rPr>
        <w:t xml:space="preserve">محمد بن محمد بن محمد بن نمير ابن السراج شمس الدين
</w:t>
      </w:r>
    </w:p>
    <w:p>
      <w:pPr/>
      <w:r>
        <w:rPr/>
        <w:t xml:space="preserve">محمد بن محمد بن محمد بن نمير ابن السراج شمس الدين محمد بن محمد بن محمد بن نمير ابن السراج شمس الدين الكاتب المجود المقريء ولد سنة نيف وسبعين وستمائة وبخط الذهبي سنة 70 وسمع من شامية بنت البكري واعتنى بالقراءات فقرأ على النور الكفتي والمكين الأسمر سنة تسعين وأجاد النسخ قال ابن رافع كان نعم الشيخ وقال غيره تصدى لإقراء القرآن وتعليم الخط المنسوب وانتفع به جماعة وكان حسن النقل يعرف العربية ويغلب عليه سلامة الصدر مات في نصف شعبان سنة 747 حدثنا عنه جماعة منهم شيخنا أبو إسحاق التنوخي بالسماع ومن القدماء أبو العباس السمين النحوي احمد بن يوسف والمجد الكفتي واسماعيل بن محمد والبدر ابن المهتار قال الذهبي كتب إلي بترجمته أبو بكر بن أيدغدي وذكر لي أنه ذو تنسك وصلاح وقلة معاشرة وله حلقة وافرة يتعلمون الكتابة وقرأ عليه أبو بكر سنة 719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2026-05-14T15:00:10+03:00</dcterms:created>
  <dcterms:modified xsi:type="dcterms:W3CDTF">2026-05-14T15:00:10+03:00</dcterms:modified>
</cp:coreProperties>
</file>

<file path=docProps/custom.xml><?xml version="1.0" encoding="utf-8"?>
<Properties xmlns="http://schemas.openxmlformats.org/officeDocument/2006/custom-properties" xmlns:vt="http://schemas.openxmlformats.org/officeDocument/2006/docPropsVTypes"/>
</file>