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حسان الغافقي أبو عبد الله
</w:t>
      </w:r>
    </w:p>
    <w:p>
      <w:pPr>
        <w:jc w:val="start"/>
        <w:bidi/>
      </w:pPr>
      <w:r>
        <w:rPr>
          <w:rFonts w:ascii="arial" w:hAnsi="arial" w:eastAsia="arial" w:cs="arial"/>
          <w:sz w:val="28"/>
          <w:szCs w:val="28"/>
          <w:b w:val="1"/>
          <w:bCs w:val="1"/>
          <w:rtl/>
        </w:rPr>
        <w:t xml:space="preserve">محمد بن محمد بن محمد بن حسان الغافقي أبو عبد الله
</w:t>
      </w:r>
    </w:p>
    <w:p>
      <w:pPr/>
      <w:r>
        <w:rPr/>
        <w:t xml:space="preserve">محمد بن محمد بن محمد بن حسان الغافقي أبو عبد الله محمد بن محمد بن محمد بن حسان الغافقي أبو عبد الله الغرناطي قال ابن الخطيب صدر من صدور الأدباء متقدم في الحساب شاعر مجيد كاتب بليغ وأنشد له قصيدة أولها</w:t>
      </w:r>
    </w:p>
    <w:p/>
    <w:p>
      <w:pPr>
        <w:jc w:val="center"/>
      </w:pPr>
      <w:r>
        <w:rPr>
          <w:color w:val="ff0000"/>
        </w:rPr>
        <w:t xml:space="preserve">برق أضاء بحاجر ما يهدأ</w:t>
      </w:r>
      <w:r>
        <w:rPr>
          <w:color w:val="ff0000"/>
        </w:rPr>
        <w:t xml:space="preserve">      </w:t>
      </w:r>
      <w:r>
        <w:rPr>
          <w:color w:val="ff0000"/>
        </w:rPr>
        <w:t xml:space="preserve">وسناه في جنح الدجى يتلألأ</w:t>
      </w:r>
    </w:p>
    <w:p/>
    <w:p>
      <w:pPr/>
      <w:r>
        <w:rPr/>
        <w:t xml:space="preserve">وهي طويلة وهذا عنوان شعره وتأخرت وفاته إلى بعد السبعين تقدم ذكر أبيه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2026-05-14T16:20:25+03:00</dcterms:created>
  <dcterms:modified xsi:type="dcterms:W3CDTF">2026-05-14T16:20:25+03:00</dcterms:modified>
</cp:coreProperties>
</file>

<file path=docProps/custom.xml><?xml version="1.0" encoding="utf-8"?>
<Properties xmlns="http://schemas.openxmlformats.org/officeDocument/2006/custom-properties" xmlns:vt="http://schemas.openxmlformats.org/officeDocument/2006/docPropsVTypes"/>
</file>