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محمد بن أحمد زين الدين أبو حامد
</w:t>
      </w:r>
    </w:p>
    <w:p>
      <w:pPr>
        <w:jc w:val="start"/>
        <w:bidi/>
      </w:pPr>
      <w:r>
        <w:rPr>
          <w:rFonts w:ascii="arial" w:hAnsi="arial" w:eastAsia="arial" w:cs="arial"/>
          <w:sz w:val="28"/>
          <w:szCs w:val="28"/>
          <w:b w:val="1"/>
          <w:bCs w:val="1"/>
          <w:rtl/>
        </w:rPr>
        <w:t xml:space="preserve">محمد بن محمد بن محمد بن أحمد زين الدين أبو حامد
</w:t>
      </w:r>
    </w:p>
    <w:p>
      <w:pPr/>
      <w:r>
        <w:rPr/>
        <w:t xml:space="preserve">محمد بن محمد بن محمد بن أحمد زين الدين أبو حامد محمد بن محمد بن محمد بن أحمد زين الدين أبو حامد ابن الشريشي ثم القنائي الشافعي أخذ عن الشيخ جلال الدين الدشناوي الفقه والحديث وأجاز له بالإفتاء وشارك في الفنون والنحو والأدب وحسن الخط وفاق في التوريق وناب في الحكم بقفط وادفو وأسوان وقنا وعيذاب وغيرها وكان مرضي الطريقة مات في رجب سنة 705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2026-05-14T16:08:52+03:00</dcterms:created>
  <dcterms:modified xsi:type="dcterms:W3CDTF">2026-05-14T16:08:52+03:00</dcterms:modified>
</cp:coreProperties>
</file>

<file path=docProps/custom.xml><?xml version="1.0" encoding="utf-8"?>
<Properties xmlns="http://schemas.openxmlformats.org/officeDocument/2006/custom-properties" xmlns:vt="http://schemas.openxmlformats.org/officeDocument/2006/docPropsVTypes"/>
</file>