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قاسم بن الأحمر الحلبي الأصل الدمشقي
</w:t>
      </w:r>
    </w:p>
    <w:p>
      <w:pPr>
        <w:jc w:val="start"/>
        <w:bidi/>
      </w:pPr>
      <w:r>
        <w:rPr>
          <w:rFonts w:ascii="arial" w:hAnsi="arial" w:eastAsia="arial" w:cs="arial"/>
          <w:sz w:val="28"/>
          <w:szCs w:val="28"/>
          <w:b w:val="1"/>
          <w:bCs w:val="1"/>
          <w:rtl/>
        </w:rPr>
        <w:t xml:space="preserve">محمد بن محمد بن قاسم بن الأحمر الحلبي الأصل الدمشقي
</w:t>
      </w:r>
    </w:p>
    <w:p>
      <w:pPr/>
      <w:r>
        <w:rPr/>
        <w:t xml:space="preserve">محمد بن محمد بن قاسم بن الأحمر الحلبي الأصل الدمشقي محمد بن محمد بن قاسم بن الأحمر الحلبي الأصل الدمشقي إمام مسجد واثلة بن الأسقع ولد سنة 674 وسمع من الفخر ابن البخاري وأحمد بن شيبان والفاروثي وحدث مات في ذي الحجة سنة 753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2026-05-14T17:04:44+03:00</dcterms:created>
  <dcterms:modified xsi:type="dcterms:W3CDTF">2026-05-14T17:04:44+03:00</dcterms:modified>
</cp:coreProperties>
</file>

<file path=docProps/custom.xml><?xml version="1.0" encoding="utf-8"?>
<Properties xmlns="http://schemas.openxmlformats.org/officeDocument/2006/custom-properties" xmlns:vt="http://schemas.openxmlformats.org/officeDocument/2006/docPropsVTypes"/>
</file>