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موسى الآمدي الحنبلي
</w:t>
      </w:r>
    </w:p>
    <w:p>
      <w:pPr>
        <w:jc w:val="start"/>
        <w:bidi/>
      </w:pPr>
      <w:r>
        <w:rPr>
          <w:rFonts w:ascii="arial" w:hAnsi="arial" w:eastAsia="arial" w:cs="arial"/>
          <w:sz w:val="28"/>
          <w:szCs w:val="28"/>
          <w:b w:val="1"/>
          <w:bCs w:val="1"/>
          <w:rtl/>
        </w:rPr>
        <w:t xml:space="preserve">محمد بن محمد بن عثمان بن موسى الآمدي الحنبلي
</w:t>
      </w:r>
    </w:p>
    <w:p>
      <w:pPr/>
      <w:r>
        <w:rPr/>
        <w:t xml:space="preserve">محمد بن محمد بن عثمان بن موسى الآمدي الحنبلي محمد بن محمد بن عثمان بن موسى الآمدي الحنبلي إمام مقام الحنابلة بمكة وليه بعد أبيه نحوا من ثلاثين سنة ومات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عثمان بن موسى بن عبد الله
</w:t>
      </w:r>
    </w:p>
    <w:p>
      <w:pPr/>
      <w:r>
        <w:rPr/>
        <w:t xml:space="preserve">محمد بن محمد بن عثمان بن موسى بن عبد الله، يلقب [ ...... ] الدين بن القاضي الإمام جمال الدين بن الإمام موفق الدين الآمدي المكي: </w:t>
      </w:r>
    </w:p>
    <w:p/>
    <w:p>
      <w:pPr/>
      <w:r>
        <w:rPr/>
        <w:t xml:space="preserve">إمام الحنابلة بالحرم الشريف. سمع من والده، والجمال عبد الرحمن بن محمد بن يحيى الواسطي، والإمام أحمد بن الرضى الطبري، وولى الإمامة تسعا وعشرين سنة - بتقديم التاء - لأنه كان خلف أباه في الإمامة.</w:t>
      </w:r>
    </w:p>
    <w:p/>
    <w:p>
      <w:pPr/>
      <w:r>
        <w:rPr/>
        <w:t xml:space="preserve">وتوفى في سنة تسع وخمسين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2026-05-14T17:59:54+03:00</dcterms:created>
  <dcterms:modified xsi:type="dcterms:W3CDTF">2026-05-14T17:59:54+03:00</dcterms:modified>
</cp:coreProperties>
</file>

<file path=docProps/custom.xml><?xml version="1.0" encoding="utf-8"?>
<Properties xmlns="http://schemas.openxmlformats.org/officeDocument/2006/custom-properties" xmlns:vt="http://schemas.openxmlformats.org/officeDocument/2006/docPropsVTypes"/>
</file>