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بن سالم بن هلال الحلبي شمس الدين المعروف بابن العراقي
</w:t>
      </w:r>
    </w:p>
    <w:p>
      <w:pPr>
        <w:jc w:val="start"/>
        <w:bidi/>
      </w:pPr>
      <w:r>
        <w:rPr>
          <w:rFonts w:ascii="arial" w:hAnsi="arial" w:eastAsia="arial" w:cs="arial"/>
          <w:sz w:val="28"/>
          <w:szCs w:val="28"/>
          <w:b w:val="1"/>
          <w:bCs w:val="1"/>
          <w:rtl/>
        </w:rPr>
        <w:t xml:space="preserve">محمد بن محمد بن عبد الله بن سالم بن هلال الحلبي شمس الدين المعروف بابن العراقي
</w:t>
      </w:r>
    </w:p>
    <w:p>
      <w:pPr/>
      <w:r>
        <w:rPr/>
        <w:t xml:space="preserve">محمد بن محمد بن عبد الله بن سالم بن هلال الحلبي شمس الدين المعروف بابن العراقي محمد بن محمد بن عبد الله بن سالم بن هلال الحلبي شمس الدين المعروف بابن العراقي اشتغل وأخذ عن الكمال ابن الضياء العجمي وتميز وتصدر للاشغال بحلب وعلق على الحاوي تعليقا حسنا قال ابن رافع بلغتنا وفاته في صفر سنة 769 قلت وأرخه ابن حبيب وهو أعرف به في 27 ذي الحجة سنة 768 وأثنى عليه بالعلم والفضل وتقدم ذكر والده وأنه سمع من سنقر قلت وهو والد صاحبنا نائب الحكم جمال الدين عبد الله ابن العراقي ذكر لي ولده أن أباه كان صديق الشهاب الأذرعي وأنه أوصاه على أولاده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2026-06-10T01:40:07+03:00</dcterms:created>
  <dcterms:modified xsi:type="dcterms:W3CDTF">2026-06-10T01:40:07+03:00</dcterms:modified>
</cp:coreProperties>
</file>

<file path=docProps/custom.xml><?xml version="1.0" encoding="utf-8"?>
<Properties xmlns="http://schemas.openxmlformats.org/officeDocument/2006/custom-properties" xmlns:vt="http://schemas.openxmlformats.org/officeDocument/2006/docPropsVTypes"/>
</file>